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An assessment of the potential hazards of anticoagulant rodenticides to 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Witmer,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4101 Laporte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 California through Interagency</w:t>
      </w:r>
      <w:r w:rsidR="007267C2">
        <w:t xml:space="preserve"> </w:t>
      </w:r>
      <w:r w:rsidR="00A122F1">
        <w:t>Agreement No.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115003" w:rsidP="009B0870">
      <w:pPr>
        <w:jc w:val="center"/>
      </w:pPr>
      <w:r>
        <w:t>January 31</w:t>
      </w:r>
      <w:r w:rsidR="004A65F8">
        <w:t xml:space="preserve">, </w:t>
      </w:r>
      <w:r w:rsidR="00DC1268">
        <w:t>201</w:t>
      </w:r>
      <w:r>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2512D4">
        <w:t>1</w:t>
      </w:r>
      <w:r w:rsidR="00D7454D">
        <w:t>9</w:t>
      </w:r>
      <w:r w:rsidRPr="009B0870">
        <w:t xml:space="preserve"> pp.</w:t>
      </w:r>
    </w:p>
    <w:p w:rsidR="00D232E3" w:rsidRDefault="00D232E3" w:rsidP="009B0870"/>
    <w:p w:rsidR="002E4466" w:rsidRDefault="00003A4A" w:rsidP="009B0870">
      <w:r>
        <w:t xml:space="preserve">The USDA/APHIS National Wildlife Research Center </w:t>
      </w:r>
      <w:r w:rsidR="00DF3467">
        <w:t>conducted an assessment of the hazards of anticoagulants (diphacinone and brodifacoum) to salamanders.  This was do</w:t>
      </w:r>
      <w:r w:rsidR="002512D4">
        <w:t>ne</w:t>
      </w:r>
      <w:r w:rsidR="00DF3467">
        <w:t xml:space="preserve"> in anticipation of an attempt to eradicate the invasive house mice from the Farallon Islands National Wildlife Refuge.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attenuateus</w:t>
      </w:r>
      <w:r w:rsidR="00385E8C">
        <w:t>)</w:t>
      </w:r>
      <w:r w:rsidR="00DF3467">
        <w:t xml:space="preserve"> were exposed to the anticoagulant rodenticides by both oral </w:t>
      </w:r>
      <w:r w:rsidR="00CB097B">
        <w:t>and dermal exposure</w:t>
      </w:r>
      <w:r w:rsidR="00385E8C">
        <w:t xml:space="preserve"> routes</w:t>
      </w:r>
      <w:r w:rsidR="00CB097B">
        <w:t>.  There were some deaths</w:t>
      </w:r>
      <w:r>
        <w:t xml:space="preserve"> (</w:t>
      </w:r>
      <w:r w:rsidR="00385E8C">
        <w:t>9 of 37 treated salamanders; 24.3% mortality)</w:t>
      </w:r>
      <w:r w:rsidR="002512D4">
        <w:t xml:space="preserve"> and it appear</w:t>
      </w:r>
      <w:r>
        <w:t>ed</w:t>
      </w:r>
      <w:r w:rsidR="002512D4">
        <w:t xml:space="preserve"> that dermal exposure posed the greatest hazard.  </w:t>
      </w:r>
      <w:r w:rsidR="00385E8C">
        <w:t xml:space="preserve">We did not note the sub-lethal effects of weight loss or reduced food (cricket) consumption, however, skin sloughing and sores on the undersides of animals were noted in some cases.  It appeared that skin sloughing and sores began to recede during the post-exposure period, suggesting that some animals began to recover after rodenticide exposure.  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relatively low, especially given the very high exposure rates </w:t>
      </w:r>
      <w:r w:rsidR="00385E8C">
        <w:t xml:space="preserve">applied </w:t>
      </w:r>
      <w:r w:rsidR="002512D4">
        <w:t>in this study.</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  For example, on Gough Island in the South Atlantic, house mice fed on nestling albatross chicks (Cuthbert and Hilton, 2004).  Additionally, Witmer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Because of the damage caused by mice on islands, there have been numerous attempts to control or eradicate them.  The Farallon Islands National Wildlife Refuge is conducting plans for an eradication of the house mice on the Refuge (USFWS 2013).</w:t>
      </w:r>
    </w:p>
    <w:p w:rsidR="00924807" w:rsidRPr="00924807" w:rsidRDefault="00924807" w:rsidP="00924807">
      <w:pPr>
        <w:rPr>
          <w:bCs/>
          <w:iCs/>
        </w:rPr>
      </w:pPr>
    </w:p>
    <w:p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APHIS maintains the registrations for two rodenticide active ingredients for invasive rodent eradication: diphacinone and brodifacoum.  However, rodenticides can pose hazards to non-target animals so careful considerations and measures must </w:t>
      </w:r>
      <w:r w:rsidR="00A122F1">
        <w:rPr>
          <w:bCs/>
          <w:iCs/>
        </w:rPr>
        <w:t>be</w:t>
      </w:r>
      <w:r w:rsidRPr="00924807">
        <w:rPr>
          <w:bCs/>
          <w:iCs/>
        </w:rPr>
        <w:t xml:space="preserve"> taken to reduce those risks (Witmer et al. 2007).</w:t>
      </w:r>
    </w:p>
    <w:p w:rsidR="00924807" w:rsidRPr="00924807" w:rsidRDefault="00924807" w:rsidP="00924807">
      <w:pPr>
        <w:rPr>
          <w:bCs/>
          <w:iCs/>
        </w:rPr>
      </w:pPr>
    </w:p>
    <w:p w:rsidR="00924807" w:rsidRPr="00924807" w:rsidRDefault="00924807" w:rsidP="00924807">
      <w:pPr>
        <w:rPr>
          <w:b/>
          <w:color w:val="FF0000"/>
        </w:rPr>
      </w:pPr>
      <w:r w:rsidRPr="00924807">
        <w:rPr>
          <w:bCs/>
          <w:iCs/>
        </w:rPr>
        <w:t xml:space="preserve">Invasive house mice are present on the Farallon Islands National Wildlife Refuge (NWR)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 xml:space="preserve">The </w:t>
      </w:r>
      <w:r w:rsidRPr="00924807">
        <w:rPr>
          <w:bCs/>
          <w:iCs/>
        </w:rPr>
        <w:t>U</w:t>
      </w:r>
      <w:r w:rsidR="00350090">
        <w:rPr>
          <w:bCs/>
          <w:iCs/>
        </w:rPr>
        <w:t>.</w:t>
      </w:r>
      <w:r w:rsidRPr="00924807">
        <w:rPr>
          <w:bCs/>
          <w:iCs/>
        </w:rPr>
        <w:t>S</w:t>
      </w:r>
      <w:r w:rsidR="00350090">
        <w:rPr>
          <w:bCs/>
          <w:iCs/>
        </w:rPr>
        <w:t xml:space="preserve">. </w:t>
      </w:r>
      <w:r w:rsidRPr="00924807">
        <w:rPr>
          <w:bCs/>
          <w:iCs/>
        </w:rPr>
        <w:t>F</w:t>
      </w:r>
      <w:r w:rsidR="00350090">
        <w:rPr>
          <w:bCs/>
          <w:iCs/>
        </w:rPr>
        <w:t xml:space="preserve">ish and </w:t>
      </w:r>
      <w:r w:rsidRPr="00924807">
        <w:rPr>
          <w:bCs/>
          <w:iCs/>
        </w:rPr>
        <w:t>W</w:t>
      </w:r>
      <w:r w:rsidR="00350090">
        <w:rPr>
          <w:bCs/>
          <w:iCs/>
        </w:rPr>
        <w:t xml:space="preserve">ildlife </w:t>
      </w:r>
      <w:r w:rsidRPr="00924807">
        <w:rPr>
          <w:bCs/>
          <w:iCs/>
        </w:rPr>
        <w:t>S</w:t>
      </w:r>
      <w:r w:rsidR="00350090">
        <w:rPr>
          <w:bCs/>
          <w:iCs/>
        </w:rPr>
        <w:t>ervice (USFWS)</w:t>
      </w:r>
      <w:r w:rsidRPr="00924807">
        <w:rPr>
          <w:bCs/>
          <w:iCs/>
        </w:rPr>
        <w:t xml:space="preserve"> would like to eradicate the invasive mice from the refuge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 xml:space="preserve">brodifacoum and diphacine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rsidR="009021B0" w:rsidRPr="00924807" w:rsidRDefault="009021B0"/>
    <w:p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brodifacoum and diphacinone to </w:t>
      </w:r>
      <w:r w:rsidR="00047352">
        <w:rPr>
          <w:color w:val="000000"/>
        </w:rPr>
        <w:t xml:space="preserve">Farallon arboreal </w:t>
      </w:r>
      <w:r w:rsidR="00924807" w:rsidRPr="00924807">
        <w:rPr>
          <w:color w:val="000000"/>
        </w:rPr>
        <w:t>salamanders</w:t>
      </w:r>
      <w:r w:rsidR="00047352">
        <w:rPr>
          <w:color w:val="000000"/>
        </w:rPr>
        <w:t xml:space="preserve">, 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BA34FF">
        <w:rPr>
          <w:color w:val="000000"/>
        </w:rPr>
        <w:t xml:space="preserve">For a description of the phylogenetic relationships of the largest family of salamanders, the </w:t>
      </w:r>
      <w:r w:rsidR="00BA34FF">
        <w:rPr>
          <w:i/>
          <w:color w:val="000000"/>
        </w:rPr>
        <w:t>Plethodontidae</w:t>
      </w:r>
      <w:r w:rsidR="007272EB">
        <w:rPr>
          <w:color w:val="000000"/>
        </w:rPr>
        <w:t>, see Vieites et al. (2011).  Ultimately, t</w:t>
      </w:r>
      <w:r w:rsidR="00047352">
        <w:rPr>
          <w:color w:val="000000"/>
        </w:rPr>
        <w:t>hree species of 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047352">
        <w:rPr>
          <w:iCs/>
        </w:rPr>
        <w:t>), and California slender salamander (</w:t>
      </w:r>
      <w:r w:rsidR="00047352">
        <w:rPr>
          <w:i/>
        </w:rPr>
        <w:t>Batrachoseps attenuateus</w:t>
      </w:r>
      <w:r w:rsidR="00047352">
        <w:t>)</w:t>
      </w:r>
      <w:r w:rsidR="00AC0A4D">
        <w:t>; see Figures 1-3.</w:t>
      </w:r>
      <w:r w:rsidR="00047352">
        <w:t xml:space="preserve">  S</w:t>
      </w:r>
      <w:r w:rsidR="00924807" w:rsidRPr="00924807">
        <w:rPr>
          <w:color w:val="000000"/>
        </w:rPr>
        <w:t xml:space="preserve">alamanders </w:t>
      </w:r>
      <w:r w:rsidR="00047352">
        <w:rPr>
          <w:color w:val="000000"/>
        </w:rPr>
        <w:t>were exposed the rodenticides</w:t>
      </w:r>
      <w:r w:rsidR="00924807" w:rsidRPr="00924807">
        <w:rPr>
          <w:color w:val="000000"/>
        </w:rPr>
        <w:t xml:space="preserve"> through two routes: </w:t>
      </w:r>
      <w:r w:rsidR="00924807" w:rsidRPr="00924807">
        <w:t xml:space="preserve">1) secondary oral exposure by allowing the salamanders to consume </w:t>
      </w:r>
      <w:r w:rsidR="001517FF">
        <w:t>crickets</w:t>
      </w:r>
      <w:r w:rsidR="00924807" w:rsidRPr="00924807">
        <w:t xml:space="preserve"> that ha</w:t>
      </w:r>
      <w:r w:rsidR="00A84C9B">
        <w:t xml:space="preserve">d been dusted with powdered </w:t>
      </w:r>
      <w:r w:rsidR="00047352">
        <w:t>brodifacoum or diphacinone bait</w:t>
      </w:r>
      <w:r w:rsidR="00A84C9B">
        <w:t>,</w:t>
      </w:r>
      <w:r w:rsidR="00924807" w:rsidRPr="00924807">
        <w:t xml:space="preserve"> and 2) direct external exposure by allowing salamanders to be exposed to crushed pellets and water that has been used to soak anticoagulant pellets </w:t>
      </w:r>
      <w:r w:rsidR="00A84C9B">
        <w:t xml:space="preserve">and then sprayed on the paper towels on the bottom of each plastic cage </w:t>
      </w:r>
      <w:r w:rsidR="00924807" w:rsidRPr="00924807">
        <w:t xml:space="preserve">thus allowing dermal absorption.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lastRenderedPageBreak/>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will cause some mortality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Vredenberg </w:t>
      </w:r>
      <w:r w:rsidRPr="0066370C">
        <w:t>of San Francisco State University</w:t>
      </w:r>
      <w:r w:rsidR="00BA34FF">
        <w:t xml:space="preserve"> (SFSU)</w:t>
      </w:r>
      <w:r w:rsidRPr="0066370C">
        <w:t xml:space="preserve">.  </w:t>
      </w:r>
      <w:r w:rsidR="00BA34FF">
        <w:t xml:space="preserve">Dr. Vredenberg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under a separate agreement with the USFWS to conduct those activities.</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 and easily maintained.</w:t>
      </w:r>
      <w:r w:rsidR="001517FF">
        <w:t xml:space="preserve">  The cages contained wet paper towels on the floor of cages and a plastic tube</w:t>
      </w:r>
      <w:r w:rsidR="007272EB">
        <w:t xml:space="preserve"> for shelter</w:t>
      </w:r>
      <w:r w:rsidR="001517FF">
        <w:t>.</w:t>
      </w:r>
      <w:r w:rsidRPr="0066370C">
        <w:t xml:space="preserve">  </w:t>
      </w:r>
      <w:r w:rsidR="001517FF">
        <w:t xml:space="preserve">Salamanders were maintained as per the </w:t>
      </w:r>
      <w:r w:rsidRPr="0066370C">
        <w:t>university-approved SOP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rsidR="00924807" w:rsidRDefault="00924807" w:rsidP="009B0870">
      <w:pPr>
        <w:rPr>
          <w:b/>
          <w:bCs/>
        </w:rPr>
      </w:pPr>
    </w:p>
    <w:p w:rsidR="0066370C" w:rsidRPr="0066370C"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There w</w:t>
      </w:r>
      <w:r w:rsidR="00516C61">
        <w:t xml:space="preserve">as a control and </w:t>
      </w:r>
      <w:r w:rsidRPr="0066370C">
        <w:t>two treatment groups for each of these two rodenticides with each providing a different route of exposure</w:t>
      </w:r>
      <w:r w:rsidR="000C3B8F">
        <w:t xml:space="preserve"> (secondary oral exposure and direct dermal exposure)</w:t>
      </w:r>
      <w:r w:rsidRPr="0066370C">
        <w:t>.</w:t>
      </w:r>
      <w:r w:rsidR="000C3B8F">
        <w:t xml:space="preserve"> </w:t>
      </w:r>
      <w:r w:rsidRPr="0066370C">
        <w:t xml:space="preserve"> </w:t>
      </w:r>
      <w:r w:rsidR="00516C61">
        <w:t>We had planned to use 10 salamanders in each group, h</w:t>
      </w:r>
      <w:r w:rsidR="000C3B8F">
        <w:t xml:space="preserve">owever, because we did not </w:t>
      </w:r>
      <w:r w:rsidR="00516C61">
        <w:t xml:space="preserve">obtain </w:t>
      </w:r>
      <w:r w:rsidR="000C3B8F">
        <w:t>enough of the first two species of salamanders</w:t>
      </w:r>
      <w:r w:rsidR="00516C61">
        <w:t xml:space="preserve"> (</w:t>
      </w:r>
      <w:r w:rsidR="00516C61" w:rsidRPr="0066370C">
        <w:rPr>
          <w:i/>
        </w:rPr>
        <w:t>Aneides</w:t>
      </w:r>
      <w:r w:rsidR="00516C61">
        <w:t xml:space="preserve"> and </w:t>
      </w:r>
      <w:r w:rsidR="00516C61" w:rsidRPr="0066370C">
        <w:rPr>
          <w:i/>
        </w:rPr>
        <w:t>Ensatina</w:t>
      </w:r>
      <w:r w:rsidR="00516C61">
        <w:t>),</w:t>
      </w:r>
      <w:r w:rsidR="000C3B8F">
        <w:t xml:space="preserve"> we combined the two routes of exposure</w:t>
      </w:r>
      <w:r w:rsidR="00D42840">
        <w:t xml:space="preserve"> and had some of each species in each group.</w:t>
      </w:r>
      <w:r w:rsidRPr="0066370C">
        <w:t xml:space="preserve"> </w:t>
      </w:r>
      <w:r w:rsidR="00D42840">
        <w:t xml:space="preserve"> </w:t>
      </w:r>
      <w:r w:rsidR="00B257E2">
        <w:t xml:space="preserve">This was called Trial 1.  </w:t>
      </w:r>
      <w:r w:rsidRPr="0066370C">
        <w:t>The</w:t>
      </w:r>
      <w:r w:rsidR="00516C61">
        <w:t xml:space="preserve"> </w:t>
      </w:r>
      <w:r w:rsidRPr="0066370C">
        <w:t>control group</w:t>
      </w:r>
      <w:r w:rsidR="000C3B8F">
        <w:t xml:space="preserve"> had no rodenticide exposure</w:t>
      </w:r>
      <w:r w:rsidR="00516C61">
        <w:t>, but were otherwise maintained like the treatment groups</w:t>
      </w:r>
      <w:r w:rsidRPr="0066370C">
        <w:t>.</w:t>
      </w:r>
      <w:r w:rsidR="00B15385">
        <w:t xml:space="preserve">  See Table 1 for the number of salamanders used in these groups.  </w:t>
      </w:r>
      <w:r w:rsidR="000C3B8F">
        <w:t>Because we had enough of the third species of salamander</w:t>
      </w:r>
      <w:r w:rsidR="00D42840">
        <w:t xml:space="preserve"> (</w:t>
      </w:r>
      <w:r w:rsidR="00D42840">
        <w:rPr>
          <w:i/>
        </w:rPr>
        <w:t>Batrachoseps</w:t>
      </w:r>
      <w:r w:rsidR="00D42840">
        <w:t>)</w:t>
      </w:r>
      <w:r w:rsidR="000C3B8F">
        <w:t>, we were able to have separate treatment groups for each route of exposure</w:t>
      </w:r>
      <w:r w:rsidR="00516C61">
        <w:t xml:space="preserve"> </w:t>
      </w:r>
      <w:r w:rsidR="00B15385">
        <w:t xml:space="preserve">along with </w:t>
      </w:r>
      <w:r w:rsidR="00516C61">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p>
    <w:p w:rsidR="0039041E" w:rsidRDefault="0039041E" w:rsidP="0066370C">
      <w:pPr>
        <w:rPr>
          <w:b/>
        </w:rPr>
      </w:pPr>
    </w:p>
    <w:p w:rsidR="0066370C" w:rsidRPr="0066370C" w:rsidRDefault="0066370C" w:rsidP="0066370C">
      <w:r w:rsidRPr="0066370C">
        <w:rPr>
          <w:b/>
        </w:rPr>
        <w:t>Treatment 1 Procedures; secondary oral exposure.</w:t>
      </w:r>
      <w:r w:rsidRPr="0066370C">
        <w:t xml:space="preserve">  Ten salamanders of the </w:t>
      </w:r>
      <w:r w:rsidR="00D42840">
        <w:t xml:space="preserve">third </w:t>
      </w:r>
      <w:r w:rsidR="000C3B8F">
        <w:t xml:space="preserve">species of salamanders </w:t>
      </w:r>
      <w:r w:rsidR="00D42840">
        <w:t>(</w:t>
      </w:r>
      <w:r w:rsidR="00D42840">
        <w:rPr>
          <w:i/>
        </w:rPr>
        <w:t>Batrachoseps</w:t>
      </w:r>
      <w:r w:rsidR="00D42840">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xml:space="preserve">, they all died shortly </w:t>
      </w:r>
      <w:r w:rsidR="00B257E2">
        <w:lastRenderedPageBreak/>
        <w:t>thereafter.  Consequently, we again amended the study protocol to state that we would sprinkle powdered rodenticide on the crickets just before putting them in with the salamanders.</w:t>
      </w:r>
      <w:r w:rsidR="0000113C">
        <w:t xml:space="preserve">  However, see the further explanation on this near the end of the discussion section.</w:t>
      </w:r>
      <w:r w:rsidR="00EC1C03">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have not been exposed to the rodenticide.</w:t>
      </w:r>
    </w:p>
    <w:p w:rsidR="0066370C" w:rsidRPr="0066370C" w:rsidRDefault="0066370C" w:rsidP="0066370C"/>
    <w:p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 xml:space="preserve">Ten salamanders of the </w:t>
      </w:r>
      <w:r w:rsidR="00B257E2">
        <w:t>third species of salamanders (</w:t>
      </w:r>
      <w:r w:rsidR="00B257E2">
        <w:rPr>
          <w:i/>
        </w:rPr>
        <w:t>Batrachoseps</w:t>
      </w:r>
      <w:r w:rsidR="00B257E2">
        <w:t xml:space="preserve">) 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to external </w:t>
      </w:r>
      <w:r w:rsidRPr="0066370C">
        <w:t xml:space="preserve">dermal exposure from </w:t>
      </w:r>
      <w:r w:rsidR="00EC68A5">
        <w:t>powdered/</w:t>
      </w:r>
      <w:r w:rsidRPr="0066370C">
        <w:t xml:space="preserve">crushed pellets being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clean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the </w:t>
      </w:r>
      <w:r w:rsidR="00BD6811">
        <w:t>Trial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determine if a decline in weight occur</w:t>
      </w:r>
      <w:r w:rsidR="0072173A">
        <w:t>red</w:t>
      </w:r>
      <w:r w:rsidR="0066370C" w:rsidRPr="0066370C">
        <w:t>.</w:t>
      </w:r>
      <w:r w:rsidR="00062A70">
        <w:t xml:space="preserve">  These data provided us with </w:t>
      </w:r>
      <w:r w:rsidR="0072173A">
        <w:t xml:space="preserve"> 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of toxicosis advance.</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by the study director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 xml:space="preserve">igns of toxicosis </w:t>
      </w:r>
      <w:r w:rsidR="00176397">
        <w:t xml:space="preserve">exposure </w:t>
      </w:r>
      <w:r w:rsidRPr="00BD6811">
        <w:t>progress</w:t>
      </w:r>
      <w:r w:rsidR="008409B6" w:rsidRPr="00BD6811">
        <w:t>ed</w:t>
      </w:r>
      <w:r w:rsidRPr="00BD6811">
        <w:t>, but frequen</w:t>
      </w:r>
      <w:r w:rsidR="00BD6811">
        <w:t>cy</w:t>
      </w:r>
      <w:r w:rsidRPr="00BD6811">
        <w:t xml:space="preserve"> 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 xml:space="preserve">observed, in the opinion of research or animal care staff,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difficult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zip-lock 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Aniedes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 xml:space="preserve">aging </w:t>
      </w:r>
      <w:r w:rsidR="006B0B85" w:rsidRPr="00BD6811">
        <w:rPr>
          <w:bCs/>
        </w:rPr>
        <w:lastRenderedPageBreak/>
        <w:t>(Stone et al. 1999).</w:t>
      </w:r>
      <w:r w:rsidR="00267DE2">
        <w:rPr>
          <w:bCs/>
        </w:rPr>
        <w:t xml:space="preserve">  Because of their very small size,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t xml:space="preserve">.  </w:t>
      </w:r>
      <w:r w:rsidR="0066370C">
        <w:t xml:space="preserve">In the brodifacoum group, </w:t>
      </w:r>
      <w:r>
        <w:t>two</w:t>
      </w:r>
      <w:r w:rsidR="0066370C">
        <w:t xml:space="preserve"> (both </w:t>
      </w:r>
      <w:r w:rsidR="0066370C" w:rsidRPr="00092133">
        <w:rPr>
          <w:i/>
        </w:rPr>
        <w:t>Aneides</w:t>
      </w:r>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chemist noted that the pellets for both brodifacoum and diphacinone are rather acidic so this may been responsible for much of the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brodifacoum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rsidR="0066370C">
        <w:t>Brodifacoum residues in salamanders were quite variable, but low</w:t>
      </w:r>
      <w:r w:rsidR="00092133">
        <w:t xml:space="preserve"> (see discussion for comparisons</w:t>
      </w:r>
      <w:r w:rsidR="00EC68A5">
        <w:t xml:space="preserve"> with other studies</w:t>
      </w:r>
      <w:r w:rsidR="00092133">
        <w:t>)</w:t>
      </w:r>
      <w:r w:rsidR="0066370C">
        <w:t xml:space="preserve">: </w:t>
      </w:r>
      <w:r w:rsidR="0066370C" w:rsidRPr="00092133">
        <w:rPr>
          <w:i/>
        </w:rPr>
        <w:t>Aneides</w:t>
      </w:r>
      <w:r w:rsidR="0066370C">
        <w:t xml:space="preserve"> 42.7-226 </w:t>
      </w:r>
      <w:r w:rsidR="00092133">
        <w:t>ng/g or ppb</w:t>
      </w:r>
      <w:r w:rsidR="0066370C">
        <w:t xml:space="preserve"> (parts per billion); </w:t>
      </w:r>
      <w:r w:rsidR="0066370C" w:rsidRPr="00092133">
        <w:rPr>
          <w:i/>
        </w:rPr>
        <w:t>Ensatina</w:t>
      </w:r>
      <w:r w:rsidR="0066370C">
        <w:t xml:space="preserve"> 48.3-101 ppb.</w:t>
      </w:r>
    </w:p>
    <w:p w:rsidR="0066370C" w:rsidRDefault="0066370C" w:rsidP="0066370C"/>
    <w:p w:rsidR="0066370C" w:rsidRDefault="0066370C" w:rsidP="0066370C">
      <w:r>
        <w:t xml:space="preserve">In the diphacinone group, </w:t>
      </w:r>
      <w:r w:rsidR="00BC2AE5">
        <w:t>one</w:t>
      </w:r>
      <w:r>
        <w:t xml:space="preserve"> (</w:t>
      </w:r>
      <w:r w:rsidRPr="00092133">
        <w:rPr>
          <w:i/>
        </w:rPr>
        <w:t>Aneides</w:t>
      </w:r>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28.6%).  There was a considerable difference in cricket consumption by the salamanders.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(F = 1.40, P = 0.26)</w:t>
      </w:r>
      <w:r>
        <w:t xml:space="preserve"> </w:t>
      </w:r>
      <w:r w:rsidR="008615AB">
        <w:t xml:space="preserve">between the two periods. </w:t>
      </w:r>
      <w:r>
        <w:t xml:space="preserve"> Additionally, 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w:t>
      </w:r>
      <w:r w:rsidR="00CD43A4">
        <w:lastRenderedPageBreak/>
        <w:t xml:space="preserve">euthanasia of the surviving salamanders, necropsy revealed no 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rsidR="00337F68" w:rsidRDefault="00337F68" w:rsidP="0066370C"/>
    <w:p w:rsidR="00640AB7" w:rsidRDefault="00640AB7" w:rsidP="0066370C">
      <w:r>
        <w:t>There were no deaths in the control group and we did not note any sloughing of skin or sores.</w:t>
      </w:r>
      <w:r w:rsidR="00714938">
        <w:t xml:space="preserve">  Cricket consumption increased some over the course of the trial in this group, but the difference was not significant (F = 2.20, P = 0.17).</w:t>
      </w:r>
      <w:r w:rsidR="008615AB">
        <w:t xml:space="preserve">  Most salamanders in this group gained a little weight over the course of the trial</w:t>
      </w:r>
      <w:r w:rsidR="00714938">
        <w:t>, but this was not significant (F = 0.14, P = 0.71).</w:t>
      </w:r>
      <w:r w:rsidR="004C4E40">
        <w:t xml:space="preserve">  One of the six salamanders in the control group showed some internal bleeding upon necropsy.</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 One brodifacoum group (n= 7) received oral exposure (dusted crickets) only, while the second brodifacoum group (n= 8) received dermal exposure</w:t>
      </w:r>
      <w:r w:rsidR="00860135">
        <w:t xml:space="preserve">.  </w:t>
      </w:r>
      <w:r>
        <w:t xml:space="preserve">Similarly, one diphacinone group (n= 8) received oral exposure only, while the second diphacinone group (n= 8) received dermal exposure. This was done to </w:t>
      </w:r>
      <w:r w:rsidR="00860135">
        <w:t>compare the 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brodifacoum oral exposure group, no animals died. </w:t>
      </w:r>
      <w:r w:rsidR="00EC1C03">
        <w:t xml:space="preserve"> </w:t>
      </w:r>
      <w:r w:rsidR="0066370C">
        <w:t>There was no skin sloughing or sores noted.</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t>when compared to the pre-study weight; the most substantial change was 0.1g</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rsidR="008D6C9A" w:rsidRDefault="008D6C9A" w:rsidP="008D6C9A"/>
    <w:p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t xml:space="preserve">There was no skin sloughing or sores noted. </w:t>
      </w:r>
      <w:r w:rsidR="00EC1C03">
        <w:t xml:space="preserve"> </w:t>
      </w:r>
      <w:r w:rsidR="00932EC2">
        <w:t xml:space="preserve">Cricket consumption was somewhat variable: 9-27 in the exposure period, but increased in the two surviving salamanders (44-55) in the post-exposure period.  This was a significant increase (F = 20.9, P = 0.002) in cricket consumption between the two periods.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p>
    <w:p w:rsidR="008D6C9A" w:rsidRDefault="008D6C9A" w:rsidP="008D6C9A"/>
    <w:p w:rsidR="0066370C" w:rsidRDefault="0066370C" w:rsidP="008D6C9A">
      <w:r>
        <w:t xml:space="preserve">In the diphacinone oral exposure group, no animals died. </w:t>
      </w:r>
      <w:r w:rsidR="00EC1C03">
        <w:t xml:space="preserve"> </w:t>
      </w:r>
      <w:r>
        <w:t xml:space="preserve">There was no skin sloughing or sores </w:t>
      </w:r>
      <w:r w:rsidR="00FF610C">
        <w:t>observed</w:t>
      </w:r>
      <w:r>
        <w:t>.</w:t>
      </w:r>
      <w:r w:rsidR="00004C8F">
        <w:t xml:space="preserve">  Cricket consumption was somewhat variable: 6-68 in the exposure period, but stayed about the same in the post-exposure period: 4-66.  These differences were not significant (F = 0.31, P = 0.58).</w:t>
      </w:r>
      <w:r>
        <w:t xml:space="preserve"> </w:t>
      </w:r>
      <w:r w:rsidR="00EC1C03">
        <w:t xml:space="preserve"> </w:t>
      </w:r>
      <w:r w:rsidR="00FF610C">
        <w:t xml:space="preserve">Weight gain in this treatment group was negligible to </w:t>
      </w:r>
      <w:r w:rsidR="00C41C3D">
        <w:t xml:space="preserve">an </w:t>
      </w:r>
      <w:r w:rsidR="00FF610C">
        <w:t xml:space="preserve">nominal increase of </w:t>
      </w:r>
      <w:r>
        <w:t>0.02-0.15g.</w:t>
      </w:r>
      <w:r w:rsidR="00004C8F">
        <w:t xml:space="preserve">  These changes were not significantly different (F = 0.39, P = 0.54).</w:t>
      </w:r>
      <w:r>
        <w:t xml:space="preserve"> </w:t>
      </w:r>
      <w:r w:rsidR="00EC1C03">
        <w:t xml:space="preserve"> </w:t>
      </w:r>
      <w:r>
        <w:t>Interestingly, there were no diphacinone residues detected in the oral exposed salamanders.</w:t>
      </w:r>
    </w:p>
    <w:p w:rsidR="008D6C9A" w:rsidRDefault="008D6C9A" w:rsidP="008D6C9A"/>
    <w:p w:rsidR="0066370C" w:rsidRDefault="0066370C" w:rsidP="008D6C9A">
      <w:r>
        <w:t xml:space="preserve">In the diphacinone dermal exposure group, no animals died, but 50% of animals had some skin sloughing. </w:t>
      </w:r>
      <w:r w:rsidR="00004C8F">
        <w:t xml:space="preserve"> Cricket consumption was variable: 6-57 in the exposure period, but stayed about the same in the post-exposure period: 5-59.  These differences were not significant (F = 1.89, P = 0.19).  </w:t>
      </w:r>
      <w:r>
        <w:t>Salamander weights were mostly stable</w:t>
      </w:r>
      <w:r w:rsidR="00C41C3D">
        <w:t xml:space="preserve"> with changes of only </w:t>
      </w:r>
      <w:r>
        <w:t>-0.11-0.11g</w:t>
      </w:r>
      <w:r w:rsidR="00004C8F">
        <w:t xml:space="preserve">.  The </w:t>
      </w:r>
      <w:r w:rsidR="00004C8F">
        <w:lastRenderedPageBreak/>
        <w:t>differences in the two periods were not significant (F = 0.05, P = 0.83</w:t>
      </w:r>
      <w:r w:rsidR="0010252D">
        <w:t xml:space="preserve">).  </w:t>
      </w:r>
      <w:r>
        <w:t>Again, there were no diphacinone residues detected in the dermal exposed salamanders.</w:t>
      </w:r>
    </w:p>
    <w:p w:rsidR="00337F68" w:rsidRDefault="00337F68" w:rsidP="008D6C9A"/>
    <w:p w:rsidR="00AC0A4D" w:rsidRDefault="00AC0A4D" w:rsidP="00337F68">
      <w:r>
        <w:t>There was one death (14.3% mortality) in the control group.  Interestingly, 14.3% of the control animals had sloughing skin and sores.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rsidR="00AC0A4D" w:rsidRDefault="00AC0A4D" w:rsidP="00337F68"/>
    <w:p w:rsidR="00337F68" w:rsidRDefault="00FF610C" w:rsidP="00337F68">
      <w:r>
        <w:t>I</w:t>
      </w:r>
      <w:r w:rsidR="00337F68">
        <w:t xml:space="preserve">n Trial 2, we did not </w:t>
      </w:r>
      <w:r w:rsidR="00C41C3D">
        <w:t xml:space="preserve">necropsy any of the </w:t>
      </w:r>
      <w:r w:rsidR="00C41C3D">
        <w:rPr>
          <w:i/>
        </w:rPr>
        <w:t>Batrachoseps</w:t>
      </w:r>
      <w:r w:rsidR="00C41C3D">
        <w:t xml:space="preserve"> salamanders </w:t>
      </w:r>
      <w:r w:rsidR="006A4437">
        <w:t>because of their very small size</w:t>
      </w:r>
      <w:r w:rsidR="00115A78">
        <w:t xml:space="preserve"> (see Figure 3)</w:t>
      </w:r>
      <w:r w:rsidR="006A4437">
        <w:t>.</w:t>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However, residue analyses later showed that </w:t>
      </w:r>
      <w:r w:rsidR="00757D41">
        <w:t>b</w:t>
      </w:r>
      <w:r w:rsidR="0066370C">
        <w:t>rodifacoum residue</w:t>
      </w:r>
      <w:r>
        <w:t xml:space="preserve"> concentrations</w:t>
      </w:r>
      <w:r w:rsidR="0066370C">
        <w:t xml:space="preserve"> in crickets fed brodifacoum pellets were quite variable (296-688 ppb), </w:t>
      </w:r>
      <w:r>
        <w:t xml:space="preserve">but much lower than the residue concentrations in </w:t>
      </w:r>
      <w:r w:rsidR="0066370C">
        <w:t>crickets dusted with powdered brodifacoum (2887-3340 ppb).</w:t>
      </w:r>
    </w:p>
    <w:p w:rsidR="008D6C9A" w:rsidRDefault="008D6C9A" w:rsidP="008D6C9A"/>
    <w:p w:rsidR="0066370C" w:rsidRDefault="0066370C" w:rsidP="008D6C9A">
      <w:r>
        <w:t>Diphacinone residues in crickets fed diphacinone pellets were quite variable (954-2930 ppb), as were crickets dusted with powdered diphacinone (1823-3980 ppb).</w:t>
      </w:r>
    </w:p>
    <w:p w:rsidR="008D6C9A" w:rsidRDefault="008D6C9A" w:rsidP="008D6C9A"/>
    <w:p w:rsidR="0066370C" w:rsidRDefault="0066370C" w:rsidP="008D6C9A">
      <w:r>
        <w:t xml:space="preserve">Residues in water used to soak crushed and powder rodenticide pellets were very low probably because of the low </w:t>
      </w:r>
      <w:r w:rsidR="00757D41">
        <w:t xml:space="preserve">water </w:t>
      </w:r>
      <w:r>
        <w:t xml:space="preserve">solubility of </w:t>
      </w:r>
      <w:r w:rsidR="00757D41">
        <w:t>brodifacoum and diphacinone</w:t>
      </w:r>
      <w:r>
        <w:t xml:space="preserve">. </w:t>
      </w:r>
      <w:r w:rsidR="00EC1C03">
        <w:t xml:space="preserve"> </w:t>
      </w:r>
      <w:r>
        <w:t xml:space="preserve">Brodifacoum residues varied from 5.75-29.7 ppb. </w:t>
      </w:r>
      <w:r w:rsidR="00EC1C03">
        <w:t xml:space="preserve"> </w:t>
      </w:r>
      <w:r>
        <w:t>Diphacinone residues were similar 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it was 46.4 ug/g (= ppm) which is 93% of the desired 50 ug/g. </w:t>
      </w:r>
      <w:r w:rsidR="00EC1C03">
        <w:t xml:space="preserve"> </w:t>
      </w:r>
      <w:r>
        <w:t>For the brodifacoum pellets, it was 26.3 ug/g (= ppm) which is 105% of the desired 25 ug/g</w:t>
      </w:r>
      <w:r w:rsidR="008D6C9A">
        <w:t>.</w:t>
      </w:r>
    </w:p>
    <w:p w:rsidR="00375639" w:rsidRDefault="00375639" w:rsidP="008D6C9A"/>
    <w:p w:rsidR="00375639" w:rsidRDefault="00757D41" w:rsidP="008D6C9A">
      <w:r>
        <w:t>T</w:t>
      </w:r>
      <w:r w:rsidR="00375639">
        <w:t xml:space="preserve">he residue report of the Analytical Chemistry Unit </w:t>
      </w:r>
      <w:r>
        <w:t xml:space="preserve">will be sent </w:t>
      </w:r>
      <w:r w:rsidR="00375639">
        <w:t>to the USFWS as a separate document.</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hazard to salamanders, but that hazard appears to be relatively low, considering the experimental design optimized salamander exposure to rodenticides.  It also appeared that they can begin recovery after exposure ceases, based on less skin sloughing and fewer sores during the post-exposure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w:t>
      </w:r>
      <w:r>
        <w:lastRenderedPageBreak/>
        <w:t>higher than it would be in an eradication project (see Figure 1).  Hence, this trial presents, in essence, a worst case scenario.</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r>
        <w:rPr>
          <w:i/>
        </w:rPr>
        <w:t xml:space="preserve">Batrachoseps </w:t>
      </w:r>
      <w:r>
        <w:t>salamanders from anticoagulants is from dermal exposure versus oral exposure.  This could be determined because we had enough slender salamanders to separate the two types of exposure into separate groups.  It is cautioned, however, that we gave very high exposure rates to the salamanders in this study (Figure 1).  In an aerial broadcast baiting in an invasive rodent eradication project would 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We now surmise that we got a bad batch of crickets early on in the study. Later batches of crickets did just fine and were used in the study without problems.  This is consistent with the scientific literature which has shown little or no impacts to invertebrates from anticoagulants even though some have been found to have substantial residues in them.</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salamander physiology, behavior, etc., and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t xml:space="preserve">Studies have focused on risks to mammals, birds, invertebrates, and to a much lesser focus, on reptiles as these are thought to be </w:t>
      </w:r>
      <w:r w:rsidR="00B771DA">
        <w:t xml:space="preserve">either </w:t>
      </w:r>
      <w:r>
        <w:t xml:space="preserve">the most sensitive taxonomic groups </w:t>
      </w:r>
      <w:r w:rsidR="00B771DA">
        <w:t>or</w:t>
      </w:r>
      <w:r>
        <w:t xml:space="preserve"> they are the groups most likely to consume baits (primary exposure) or animals that have consumed baits (secondary exposure).  Additionally, relatively few native amphibians occur on islands and many islands don’t have any.</w:t>
      </w:r>
    </w:p>
    <w:p w:rsidR="00CC2411" w:rsidRDefault="00CC2411" w:rsidP="000022C4"/>
    <w:p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p>
    <w:p w:rsidR="008B0A80" w:rsidRDefault="008B0A80" w:rsidP="0081783E">
      <w:pPr>
        <w:jc w:val="right"/>
      </w:pPr>
    </w:p>
    <w:p w:rsidR="008B0A80" w:rsidRPr="00A63DCF" w:rsidRDefault="008B0A80" w:rsidP="000022C4">
      <w:r>
        <w:lastRenderedPageBreak/>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525AE">
        <w:t xml:space="preserve">These ranged from lows of 0.07 </w:t>
      </w:r>
      <w:r w:rsidR="006525AE" w:rsidRPr="00BB1B29">
        <w:t>µg/g</w:t>
      </w:r>
      <w:r w:rsidR="006525AE">
        <w:t xml:space="preserve"> (= ppm) to highs of 1.58 </w:t>
      </w:r>
      <w:r w:rsidR="006525AE" w:rsidRPr="00BB1B29">
        <w:t>µg/g</w:t>
      </w:r>
      <w:r w:rsidR="006525AE">
        <w:t xml:space="preserve"> (= ppm).  Note that the </w:t>
      </w:r>
      <w:r w:rsidR="00FB1579">
        <w:t xml:space="preserve">concentrations </w:t>
      </w:r>
      <w:r w:rsidR="006525AE">
        <w:t xml:space="preserve">in </w:t>
      </w:r>
      <w:r w:rsidR="0081783E">
        <w:t>our</w:t>
      </w:r>
      <w:r w:rsidR="006525AE">
        <w:t xml:space="preserve"> salamanders were much lower than those in these reptiles as our residue </w:t>
      </w:r>
      <w:r w:rsidR="00FB1579">
        <w:t xml:space="preserve">concentrations </w:t>
      </w:r>
      <w:r w:rsidR="006525AE">
        <w:t>were reported in ng/g (= ppb).</w:t>
      </w:r>
      <w:r w:rsidR="00A63DCF">
        <w:t xml:space="preserve"> 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(0.03%)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 xml:space="preserve">eradication project on Palmyra Island in the Pacific.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 ppm) in fish, and below the detection level to 0.97 </w:t>
      </w:r>
      <w:r w:rsidR="0081783E" w:rsidRPr="00BB1B29">
        <w:t>µg/g</w:t>
      </w:r>
      <w:r w:rsidR="0081783E">
        <w:t xml:space="preserve"> (= ppm)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 ppm).  Again, note that the </w:t>
      </w:r>
      <w:r w:rsidR="00FB1579">
        <w:t xml:space="preserve">concentrations </w:t>
      </w:r>
      <w:r w:rsidR="0081783E">
        <w:t xml:space="preserve">in our salamanders were much lower than those in these animals as our residue </w:t>
      </w:r>
      <w:r w:rsidR="00FB1579">
        <w:t xml:space="preserve">concentrations </w:t>
      </w:r>
      <w:r w:rsidR="0081783E">
        <w:t>were reported in ng/g (= ppb).</w:t>
      </w:r>
      <w:r w:rsidR="008C0E08">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Caribbean.  </w:t>
      </w:r>
      <w:r w:rsidR="00C1239B">
        <w:t xml:space="preserve">Most carcasses found from various taxonomic groups had </w:t>
      </w:r>
      <w:r w:rsidR="00FB1579">
        <w:t xml:space="preserve">detectible </w:t>
      </w:r>
      <w:r w:rsidR="00C1239B">
        <w:t>residues</w:t>
      </w:r>
      <w:r w:rsidR="00FB1579">
        <w:t xml:space="preserve"> of brodifacoum</w:t>
      </w:r>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 xml:space="preserve">s ranging from 10.3-1580 ng/g (= ppb).  These are similar </w:t>
      </w:r>
      <w:r w:rsidR="00FB1579">
        <w:t xml:space="preserve">concentrations </w:t>
      </w:r>
      <w:r w:rsidR="00C1239B">
        <w:t xml:space="preserve">to those we found in the salamanders.  </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Default="0066370C" w:rsidP="0066370C">
      <w:pPr>
        <w:ind w:left="360" w:hanging="360"/>
        <w:rPr>
          <w:rFonts w:ascii="Arial Narrow" w:hAnsi="Arial Narrow"/>
        </w:rPr>
      </w:pPr>
      <w:r>
        <w:rPr>
          <w:rFonts w:ascii="Arial Narrow" w:hAnsi="Arial Narrow"/>
        </w:rPr>
        <w:t xml:space="preserve">Alford, R. &amp; Richards, S. 1999. Global amphibian declines: a problem in applied ecology. </w:t>
      </w:r>
      <w:r w:rsidRPr="00B96B4F">
        <w:rPr>
          <w:rFonts w:ascii="Arial Narrow" w:hAnsi="Arial Narrow"/>
          <w:i/>
        </w:rPr>
        <w:t>Annual Review of Ecology &amp; Systematics</w:t>
      </w:r>
      <w:r>
        <w:rPr>
          <w:rFonts w:ascii="Arial Narrow" w:hAnsi="Arial Narrow"/>
        </w:rPr>
        <w:t xml:space="preserve"> 30</w:t>
      </w:r>
      <w:r w:rsidR="006D0976">
        <w:rPr>
          <w:rFonts w:ascii="Arial Narrow" w:hAnsi="Arial Narrow"/>
        </w:rPr>
        <w:t xml:space="preserve">, </w:t>
      </w:r>
      <w:r>
        <w:rPr>
          <w:rFonts w:ascii="Arial Narrow" w:hAnsi="Arial Narrow"/>
        </w:rPr>
        <w:t>133-165.</w:t>
      </w:r>
    </w:p>
    <w:p w:rsidR="0066370C" w:rsidRPr="00B96B4F" w:rsidRDefault="0066370C" w:rsidP="0066370C">
      <w:pPr>
        <w:ind w:left="360" w:hanging="360"/>
        <w:rPr>
          <w:rFonts w:ascii="Arial Narrow" w:hAnsi="Arial Narrow"/>
        </w:rPr>
      </w:pPr>
    </w:p>
    <w:p w:rsidR="008B0A80" w:rsidRPr="006D0976" w:rsidRDefault="008B0A80" w:rsidP="0066370C">
      <w:pPr>
        <w:ind w:left="360" w:hanging="360"/>
        <w:rPr>
          <w:rFonts w:ascii="Arial Narrow" w:hAnsi="Arial Narrow"/>
        </w:rPr>
      </w:pPr>
      <w:r>
        <w:rPr>
          <w:rFonts w:ascii="Arial Narrow" w:hAnsi="Arial Narrow"/>
        </w:rPr>
        <w:t>Chris, W.</w:t>
      </w:r>
      <w:r w:rsidR="006D0976">
        <w:rPr>
          <w:rFonts w:ascii="Arial Narrow" w:hAnsi="Arial Narrow"/>
        </w:rPr>
        <w:t xml:space="preserve">, Brunton, J., &amp; Dianne, H. 2010. Implications of visitations by shore skinks to bait stations containing brodifacoum in a dune system in New Zealand. </w:t>
      </w:r>
      <w:r w:rsidR="006D0976">
        <w:rPr>
          <w:rFonts w:ascii="Arial Narrow" w:hAnsi="Arial Narrow"/>
          <w:i/>
        </w:rPr>
        <w:t>Pacific Conservation Biology</w:t>
      </w:r>
      <w:r w:rsidR="006D0976">
        <w:rPr>
          <w:rFonts w:ascii="Arial Narrow" w:hAnsi="Arial Narrow"/>
        </w:rPr>
        <w:t xml:space="preserve"> 16, 86-91.</w:t>
      </w:r>
    </w:p>
    <w:p w:rsidR="008B0A80" w:rsidRDefault="008B0A80" w:rsidP="0066370C">
      <w:pPr>
        <w:ind w:left="360" w:hanging="360"/>
        <w:rPr>
          <w:rFonts w:ascii="Arial Narrow" w:hAnsi="Arial Narrow"/>
        </w:rPr>
      </w:pPr>
    </w:p>
    <w:p w:rsidR="0066370C" w:rsidRDefault="008748D6" w:rsidP="0066370C">
      <w:pPr>
        <w:ind w:left="360" w:hanging="360"/>
        <w:rPr>
          <w:rFonts w:ascii="Arial Narrow" w:hAnsi="Arial Narrow"/>
        </w:rPr>
      </w:pPr>
      <w:r>
        <w:rPr>
          <w:rFonts w:ascii="Arial Narrow" w:hAnsi="Arial Narrow"/>
        </w:rPr>
        <w:t xml:space="preserve">Cuthbert, R. &amp; Hilton, G. </w:t>
      </w:r>
      <w:r w:rsidR="0066370C" w:rsidRPr="00FD0F50">
        <w:rPr>
          <w:rFonts w:ascii="Arial Narrow" w:hAnsi="Arial Narrow"/>
        </w:rPr>
        <w:t xml:space="preserve">2004. Introduced house mice: a significant predator of threatened and endemic birds on Gough Island, South Atlantic Ocean? </w:t>
      </w:r>
      <w:r w:rsidR="0066370C" w:rsidRPr="00FD0F50">
        <w:rPr>
          <w:rFonts w:ascii="Arial Narrow" w:hAnsi="Arial Narrow"/>
          <w:i/>
        </w:rPr>
        <w:t>Biological Conservation</w:t>
      </w:r>
      <w:r w:rsidR="0066370C" w:rsidRPr="00FD0F50">
        <w:rPr>
          <w:rFonts w:ascii="Arial Narrow" w:hAnsi="Arial Narrow"/>
        </w:rPr>
        <w:t xml:space="preserve"> 117, 483-489.</w:t>
      </w:r>
    </w:p>
    <w:p w:rsidR="0066370C" w:rsidRPr="00FD0F50" w:rsidRDefault="0066370C" w:rsidP="0066370C">
      <w:pPr>
        <w:ind w:left="360" w:hanging="360"/>
        <w:rPr>
          <w:rFonts w:ascii="Arial Narrow" w:hAnsi="Arial Narrow"/>
        </w:rPr>
      </w:pPr>
    </w:p>
    <w:p w:rsidR="008B0A80" w:rsidRPr="006D0976" w:rsidRDefault="008B0A80" w:rsidP="0066370C">
      <w:pPr>
        <w:ind w:left="360" w:hanging="360"/>
        <w:contextualSpacing/>
        <w:rPr>
          <w:rFonts w:ascii="Arial Narrow" w:hAnsi="Arial Narrow"/>
        </w:rPr>
      </w:pPr>
      <w:r>
        <w:rPr>
          <w:rFonts w:ascii="Arial Narrow" w:hAnsi="Arial Narrow"/>
        </w:rPr>
        <w:t>Eason, C.</w:t>
      </w:r>
      <w:r w:rsidR="006D0976">
        <w:rPr>
          <w:rFonts w:ascii="Arial Narrow" w:hAnsi="Arial Narrow"/>
        </w:rPr>
        <w:t xml:space="preserve"> 1995. Review of the toxicity and impacts of brodifacoum on non-target wildlife in New Zealand. </w:t>
      </w:r>
      <w:r w:rsidR="006D0976" w:rsidRPr="006D0976">
        <w:rPr>
          <w:rFonts w:ascii="Arial Narrow" w:hAnsi="Arial Narrow"/>
          <w:i/>
        </w:rPr>
        <w:t>New Zealand Journal of Zoology</w:t>
      </w:r>
      <w:r w:rsidR="006D0976">
        <w:rPr>
          <w:rFonts w:ascii="Arial Narrow" w:hAnsi="Arial Narrow"/>
        </w:rPr>
        <w:t xml:space="preserve"> 22, 371-379.</w:t>
      </w:r>
    </w:p>
    <w:p w:rsidR="008B0A80" w:rsidRDefault="008B0A80" w:rsidP="0066370C">
      <w:pPr>
        <w:ind w:left="360" w:hanging="360"/>
        <w:contextualSpacing/>
        <w:rPr>
          <w:rFonts w:ascii="Arial Narrow" w:hAnsi="Arial Narrow"/>
        </w:rPr>
      </w:pPr>
    </w:p>
    <w:p w:rsidR="0066370C" w:rsidRPr="00FD0F50" w:rsidRDefault="0066370C" w:rsidP="0066370C">
      <w:pPr>
        <w:ind w:left="360" w:hanging="360"/>
        <w:contextualSpacing/>
        <w:rPr>
          <w:rFonts w:ascii="Arial Narrow" w:hAnsi="Arial Narrow"/>
        </w:rPr>
      </w:pPr>
      <w:r w:rsidRPr="00FD0F50">
        <w:rPr>
          <w:rFonts w:ascii="Arial Narrow" w:hAnsi="Arial Narrow"/>
          <w:lang w:val="en-NZ"/>
        </w:rPr>
        <w:t xml:space="preserve">Howald, G., Donlan, C. J., Galvan, J. P., Russell, J. C., Parkes, J., Samaniego, A., Wang, Y., Veitch, D., Genovesi, P., Pascal, M., Sbaunders, A., &amp; Tershy, B. 2007. Invasive rodent eradication on islands. </w:t>
      </w:r>
      <w:r w:rsidRPr="00FD0F50">
        <w:rPr>
          <w:rFonts w:ascii="Arial Narrow" w:hAnsi="Arial Narrow"/>
          <w:i/>
          <w:lang w:val="en-NZ"/>
        </w:rPr>
        <w:t>Conservation Biology</w:t>
      </w:r>
      <w:r w:rsidRPr="00FD0F50">
        <w:rPr>
          <w:rFonts w:ascii="Arial Narrow" w:hAnsi="Arial Narrow"/>
          <w:lang w:val="en-NZ"/>
        </w:rPr>
        <w:t xml:space="preserve"> 21(5), 1258-1268.</w:t>
      </w:r>
    </w:p>
    <w:p w:rsidR="0066370C" w:rsidRPr="00FD0F50" w:rsidRDefault="0066370C" w:rsidP="0066370C">
      <w:pPr>
        <w:ind w:left="360" w:hanging="360"/>
        <w:contextualSpacing/>
        <w:rPr>
          <w:rFonts w:ascii="Arial Narrow" w:hAnsi="Arial Narrow"/>
        </w:rPr>
      </w:pPr>
    </w:p>
    <w:p w:rsidR="0066370C" w:rsidRDefault="0066370C" w:rsidP="0066370C">
      <w:pPr>
        <w:ind w:left="360" w:hanging="360"/>
        <w:rPr>
          <w:rFonts w:ascii="Arial Narrow" w:hAnsi="Arial Narrow"/>
        </w:rPr>
      </w:pPr>
      <w:r w:rsidRPr="00957DA0">
        <w:rPr>
          <w:rFonts w:ascii="Arial Narrow" w:hAnsi="Arial Narrow"/>
        </w:rPr>
        <w:t>OECD. 2000.  Guidance document on the recognition, assessment, and use of clinical signs as humane endpoints for experimental animals used in safety evaluation. ENV/JM/MONO(2000)7.  OECD, Paris, France. 39 pp.</w:t>
      </w:r>
    </w:p>
    <w:p w:rsidR="008F6358" w:rsidRDefault="008F6358" w:rsidP="0066370C">
      <w:pPr>
        <w:ind w:left="360" w:hanging="360"/>
        <w:rPr>
          <w:rFonts w:ascii="Arial Narrow" w:hAnsi="Arial Narrow"/>
        </w:rPr>
      </w:pPr>
    </w:p>
    <w:p w:rsidR="008F6358" w:rsidRPr="00957DA0" w:rsidRDefault="00EC7D98" w:rsidP="0066370C">
      <w:pPr>
        <w:ind w:left="360" w:hanging="360"/>
        <w:rPr>
          <w:rFonts w:ascii="Arial Narrow" w:hAnsi="Arial Narrow"/>
        </w:rPr>
      </w:pPr>
      <w:r>
        <w:rPr>
          <w:rFonts w:ascii="Arial Narrow" w:hAnsi="Arial Narrow"/>
        </w:rPr>
        <w:t xml:space="preserve">Pitt, W., </w:t>
      </w:r>
      <w:r w:rsidR="008748D6">
        <w:rPr>
          <w:rFonts w:ascii="Arial Narrow" w:hAnsi="Arial Narrow"/>
        </w:rPr>
        <w:t>Berentsen</w:t>
      </w:r>
      <w:r w:rsidR="00FB33AF">
        <w:rPr>
          <w:rFonts w:ascii="Arial Narrow" w:hAnsi="Arial Narrow"/>
        </w:rPr>
        <w:t xml:space="preserve"> A.</w:t>
      </w:r>
      <w:r w:rsidR="008748D6">
        <w:rPr>
          <w:rFonts w:ascii="Arial Narrow" w:hAnsi="Arial Narrow"/>
        </w:rPr>
        <w:t>, Shiels,</w:t>
      </w:r>
      <w:r w:rsidR="00FB33AF">
        <w:rPr>
          <w:rFonts w:ascii="Arial Narrow" w:hAnsi="Arial Narrow"/>
        </w:rPr>
        <w:t xml:space="preserve"> A.</w:t>
      </w:r>
      <w:r w:rsidR="008748D6">
        <w:rPr>
          <w:rFonts w:ascii="Arial Narrow" w:hAnsi="Arial Narrow"/>
        </w:rPr>
        <w:t xml:space="preserve"> et al. </w:t>
      </w:r>
      <w:r>
        <w:rPr>
          <w:rFonts w:ascii="Arial Narrow" w:hAnsi="Arial Narrow"/>
        </w:rPr>
        <w:t xml:space="preserve">2015. Non-target species mortality and the measurement of brodifacoum residue after a rat eradication on Palmyra Atoll, tropical Pacific. </w:t>
      </w:r>
      <w:r w:rsidRPr="00FB33AF">
        <w:rPr>
          <w:rFonts w:ascii="Arial Narrow" w:hAnsi="Arial Narrow"/>
          <w:i/>
        </w:rPr>
        <w:t>Biological Conservation</w:t>
      </w:r>
      <w:r>
        <w:rPr>
          <w:rFonts w:ascii="Arial Narrow" w:hAnsi="Arial Narrow"/>
        </w:rPr>
        <w:t xml:space="preserve"> 185</w:t>
      </w:r>
      <w:r w:rsidR="00FB33AF">
        <w:rPr>
          <w:rFonts w:ascii="Arial Narrow" w:hAnsi="Arial Narrow"/>
        </w:rPr>
        <w:t xml:space="preserve">, </w:t>
      </w:r>
      <w:r>
        <w:rPr>
          <w:rFonts w:ascii="Arial Narrow" w:hAnsi="Arial Narrow"/>
        </w:rPr>
        <w:t>36-46.</w:t>
      </w:r>
    </w:p>
    <w:p w:rsidR="0066370C" w:rsidRDefault="0066370C" w:rsidP="0066370C">
      <w:pPr>
        <w:rPr>
          <w:rFonts w:ascii="Arial Narrow" w:hAnsi="Arial Narrow"/>
        </w:rPr>
      </w:pPr>
    </w:p>
    <w:p w:rsidR="0066370C" w:rsidRPr="00FD0F50" w:rsidRDefault="0066370C" w:rsidP="0066370C">
      <w:pPr>
        <w:ind w:left="360" w:hanging="360"/>
        <w:contextualSpacing/>
        <w:rPr>
          <w:rFonts w:ascii="Arial Narrow" w:hAnsi="Arial Narrow"/>
        </w:rPr>
      </w:pPr>
      <w:r w:rsidRPr="00FD0F50">
        <w:rPr>
          <w:rFonts w:ascii="Arial Narrow" w:hAnsi="Arial Narrow"/>
        </w:rPr>
        <w:t>Shiels, A.B., Flores, C.A., Khamsing, A., Krushelnycky, P.D., Mosher, S.M., &amp; Drake, D.R.  2013. Dietary niche differentiation among three species of invasive rodents (</w:t>
      </w:r>
      <w:r w:rsidRPr="00FD0F50">
        <w:rPr>
          <w:rFonts w:ascii="Arial Narrow" w:hAnsi="Arial Narrow"/>
          <w:i/>
        </w:rPr>
        <w:t>Rattus rattus</w:t>
      </w:r>
      <w:r w:rsidRPr="00FD0F50">
        <w:rPr>
          <w:rFonts w:ascii="Arial Narrow" w:hAnsi="Arial Narrow"/>
        </w:rPr>
        <w:t xml:space="preserve">, </w:t>
      </w:r>
      <w:r w:rsidRPr="00FD0F50">
        <w:rPr>
          <w:rFonts w:ascii="Arial Narrow" w:hAnsi="Arial Narrow"/>
          <w:i/>
        </w:rPr>
        <w:t>R. exulans</w:t>
      </w:r>
      <w:r w:rsidRPr="00FD0F50">
        <w:rPr>
          <w:rFonts w:ascii="Arial Narrow" w:hAnsi="Arial Narrow"/>
        </w:rPr>
        <w:t xml:space="preserve">, </w:t>
      </w:r>
      <w:r w:rsidRPr="00FD0F50">
        <w:rPr>
          <w:rFonts w:ascii="Arial Narrow" w:hAnsi="Arial Narrow"/>
          <w:i/>
        </w:rPr>
        <w:t>Mus musculus</w:t>
      </w:r>
      <w:r w:rsidRPr="00FD0F50">
        <w:rPr>
          <w:rFonts w:ascii="Arial Narrow" w:hAnsi="Arial Narrow"/>
        </w:rPr>
        <w:t xml:space="preserve">).  </w:t>
      </w:r>
      <w:r w:rsidRPr="00FD0F50">
        <w:rPr>
          <w:rFonts w:ascii="Arial Narrow" w:hAnsi="Arial Narrow"/>
          <w:i/>
        </w:rPr>
        <w:t>Biological Invasions</w:t>
      </w:r>
      <w:r w:rsidRPr="00FD0F50">
        <w:rPr>
          <w:rFonts w:ascii="Arial Narrow" w:hAnsi="Arial Narrow"/>
        </w:rPr>
        <w:t xml:space="preserve"> 15, 1037-1048.</w:t>
      </w:r>
    </w:p>
    <w:p w:rsidR="00E638A3" w:rsidRDefault="00E638A3" w:rsidP="007D69A4">
      <w:pPr>
        <w:pStyle w:val="Caption"/>
        <w:ind w:left="360" w:hanging="360"/>
        <w:rPr>
          <w:b w:val="0"/>
          <w:sz w:val="24"/>
          <w:szCs w:val="24"/>
        </w:rPr>
      </w:pPr>
    </w:p>
    <w:p w:rsidR="0066370C" w:rsidRPr="00FD0F50" w:rsidRDefault="0066370C" w:rsidP="0066370C">
      <w:pPr>
        <w:contextualSpacing/>
        <w:rPr>
          <w:rFonts w:ascii="Arial Narrow" w:hAnsi="Arial Narrow"/>
          <w:i/>
        </w:rPr>
      </w:pPr>
      <w:r w:rsidRPr="00FD0F50">
        <w:rPr>
          <w:rFonts w:ascii="Arial Narrow" w:hAnsi="Arial Narrow"/>
        </w:rPr>
        <w:t>Shiels, A.B., &amp; Pitt, W.C. 2014 A review of invasive rodent diets (</w:t>
      </w:r>
      <w:r w:rsidRPr="00FD0F50">
        <w:rPr>
          <w:rFonts w:ascii="Arial Narrow" w:hAnsi="Arial Narrow"/>
          <w:i/>
        </w:rPr>
        <w:t>Rattus</w:t>
      </w:r>
      <w:r w:rsidRPr="00FD0F50">
        <w:rPr>
          <w:rFonts w:ascii="Arial Narrow" w:hAnsi="Arial Narrow"/>
        </w:rPr>
        <w:t xml:space="preserve"> spp. and </w:t>
      </w:r>
      <w:r w:rsidRPr="00FD0F50">
        <w:rPr>
          <w:rFonts w:ascii="Arial Narrow" w:hAnsi="Arial Narrow"/>
          <w:i/>
        </w:rPr>
        <w:t xml:space="preserve">Mus </w:t>
      </w:r>
    </w:p>
    <w:p w:rsidR="0066370C" w:rsidRPr="00FD0F50" w:rsidRDefault="0066370C" w:rsidP="0066370C">
      <w:pPr>
        <w:contextualSpacing/>
        <w:rPr>
          <w:rFonts w:ascii="Arial Narrow" w:hAnsi="Arial Narrow"/>
        </w:rPr>
      </w:pPr>
      <w:r w:rsidRPr="00FD0F50">
        <w:rPr>
          <w:rFonts w:ascii="Arial Narrow" w:hAnsi="Arial Narrow"/>
          <w:i/>
        </w:rPr>
        <w:t xml:space="preserve">      musculus</w:t>
      </w:r>
      <w:r w:rsidRPr="00FD0F50">
        <w:rPr>
          <w:rFonts w:ascii="Arial Narrow" w:hAnsi="Arial Narrow"/>
        </w:rPr>
        <w:t>) on Pacific islands.  Proceedings of the 26</w:t>
      </w:r>
      <w:r w:rsidRPr="00FD0F50">
        <w:rPr>
          <w:rFonts w:ascii="Arial Narrow" w:hAnsi="Arial Narrow"/>
          <w:vertAlign w:val="superscript"/>
        </w:rPr>
        <w:t>th</w:t>
      </w:r>
      <w:r w:rsidRPr="00FD0F50">
        <w:rPr>
          <w:rFonts w:ascii="Arial Narrow" w:hAnsi="Arial Narrow"/>
        </w:rPr>
        <w:t xml:space="preserve"> Vertebrate Pest Conference, March    </w:t>
      </w:r>
    </w:p>
    <w:p w:rsidR="0066370C" w:rsidRDefault="0066370C" w:rsidP="0066370C">
      <w:pPr>
        <w:autoSpaceDE w:val="0"/>
        <w:autoSpaceDN w:val="0"/>
        <w:adjustRightInd w:val="0"/>
        <w:ind w:left="360" w:hanging="360"/>
        <w:rPr>
          <w:rFonts w:ascii="Arial Narrow" w:hAnsi="Arial Narrow"/>
        </w:rPr>
      </w:pPr>
      <w:r w:rsidRPr="00FD0F50">
        <w:rPr>
          <w:rFonts w:ascii="Arial Narrow" w:hAnsi="Arial Narrow"/>
        </w:rPr>
        <w:t xml:space="preserve">      3-6, 2014, Waikaloa, Hawaii.</w:t>
      </w:r>
    </w:p>
    <w:p w:rsidR="008F6358" w:rsidRDefault="008F6358" w:rsidP="0066370C">
      <w:pPr>
        <w:autoSpaceDE w:val="0"/>
        <w:autoSpaceDN w:val="0"/>
        <w:adjustRightInd w:val="0"/>
        <w:ind w:left="360" w:hanging="360"/>
        <w:rPr>
          <w:rFonts w:ascii="Arial Narrow" w:hAnsi="Arial Narrow"/>
        </w:rPr>
      </w:pPr>
    </w:p>
    <w:p w:rsidR="008F6358" w:rsidRDefault="008F6358" w:rsidP="0066370C">
      <w:pPr>
        <w:autoSpaceDE w:val="0"/>
        <w:autoSpaceDN w:val="0"/>
        <w:adjustRightInd w:val="0"/>
        <w:ind w:left="360" w:hanging="360"/>
        <w:rPr>
          <w:rFonts w:ascii="Arial Narrow" w:hAnsi="Arial Narrow"/>
        </w:rPr>
      </w:pPr>
      <w:r>
        <w:rPr>
          <w:rFonts w:ascii="Arial Narrow" w:hAnsi="Arial Narrow"/>
        </w:rPr>
        <w:t>Shiels, A., Witmer,</w:t>
      </w:r>
      <w:r w:rsidR="00FB33AF">
        <w:rPr>
          <w:rFonts w:ascii="Arial Narrow" w:hAnsi="Arial Narrow"/>
        </w:rPr>
        <w:t xml:space="preserve"> G.,</w:t>
      </w:r>
      <w:r>
        <w:rPr>
          <w:rFonts w:ascii="Arial Narrow" w:hAnsi="Arial Narrow"/>
        </w:rPr>
        <w:t xml:space="preserve"> Samra,</w:t>
      </w:r>
      <w:r w:rsidR="00FB33AF">
        <w:rPr>
          <w:rFonts w:ascii="Arial Narrow" w:hAnsi="Arial Narrow"/>
        </w:rPr>
        <w:t xml:space="preserve"> C.</w:t>
      </w:r>
      <w:r>
        <w:rPr>
          <w:rFonts w:ascii="Arial Narrow" w:hAnsi="Arial Narrow"/>
        </w:rPr>
        <w:t xml:space="preserve"> et al. 2017. Assessment of bait density, bait availability, and non-target impacts during an aerial application of rodenticide to eliminate invasive rats on Desecheo Island, Puerto Rico. Final Report QA-2588. USDA, APHIS, WS, NWRC, Fort Collins CO. 87 pp.</w:t>
      </w:r>
    </w:p>
    <w:p w:rsidR="0066370C" w:rsidRDefault="0066370C" w:rsidP="0066370C">
      <w:pPr>
        <w:rPr>
          <w:rFonts w:ascii="Arial Narrow" w:hAnsi="Arial Narrow"/>
        </w:rPr>
      </w:pPr>
    </w:p>
    <w:p w:rsidR="006B0B85" w:rsidRDefault="006B0B85" w:rsidP="0066370C">
      <w:pPr>
        <w:ind w:left="360" w:hanging="360"/>
        <w:rPr>
          <w:rFonts w:ascii="Arial Narrow" w:hAnsi="Arial Narrow"/>
          <w:lang w:val="en-NZ"/>
        </w:rPr>
      </w:pPr>
      <w:r w:rsidRPr="000C08FA">
        <w:rPr>
          <w:rFonts w:ascii="Arial Narrow" w:hAnsi="Arial Narrow"/>
        </w:rPr>
        <w:t xml:space="preserve">Stone, W., J. Okoniewski, </w:t>
      </w:r>
      <w:r>
        <w:rPr>
          <w:rFonts w:ascii="Arial Narrow" w:hAnsi="Arial Narrow"/>
        </w:rPr>
        <w:t>&amp;</w:t>
      </w:r>
      <w:r w:rsidRPr="000C08FA">
        <w:rPr>
          <w:rFonts w:ascii="Arial Narrow" w:hAnsi="Arial Narrow"/>
        </w:rPr>
        <w:t xml:space="preserve"> J. Stedelin.  1999.  Poisoning of wildlife with anticoagulant rodenticides in New York.  J. Wildl. Diseases 35:187-193.</w:t>
      </w:r>
    </w:p>
    <w:p w:rsidR="006B0B85" w:rsidRDefault="006B0B85" w:rsidP="0066370C">
      <w:pPr>
        <w:ind w:left="360" w:hanging="360"/>
        <w:rPr>
          <w:rFonts w:ascii="Arial Narrow" w:hAnsi="Arial Narrow"/>
          <w:lang w:val="en-NZ"/>
        </w:rPr>
      </w:pPr>
    </w:p>
    <w:p w:rsidR="0086263F" w:rsidRDefault="0086263F" w:rsidP="0066370C">
      <w:pPr>
        <w:ind w:left="360" w:hanging="360"/>
        <w:rPr>
          <w:rFonts w:ascii="Arial Narrow" w:hAnsi="Arial Narrow"/>
          <w:lang w:val="en-NZ"/>
        </w:rPr>
      </w:pPr>
      <w:r>
        <w:rPr>
          <w:lang w:val="en-NZ"/>
        </w:rPr>
        <w:t>U.S. Fish and Wildlife Service. 2013. Farallon National Wildlife Refuge:</w:t>
      </w:r>
      <w:r w:rsidRPr="002B080F">
        <w:rPr>
          <w:lang w:val="en-NZ"/>
        </w:rPr>
        <w:t xml:space="preserve"> </w:t>
      </w:r>
      <w:r w:rsidRPr="002B080F">
        <w:t xml:space="preserve">South Farallon Islands invasive house mouse eradication project: Revised draft environmental impact statement. </w:t>
      </w:r>
      <w:r>
        <w:rPr>
          <w:lang w:val="en-NZ"/>
        </w:rPr>
        <w:t>U.S. Fish and Wildlife Service, San Francisco Bay National Wildlife Refuge Complex, Fremont, California.</w:t>
      </w:r>
    </w:p>
    <w:p w:rsidR="0086263F" w:rsidRDefault="0086263F" w:rsidP="0066370C">
      <w:pPr>
        <w:ind w:left="360" w:hanging="360"/>
        <w:rPr>
          <w:rFonts w:ascii="Arial Narrow" w:hAnsi="Arial Narrow"/>
          <w:lang w:val="en-NZ"/>
        </w:rPr>
      </w:pPr>
    </w:p>
    <w:p w:rsidR="009E1564" w:rsidRPr="009E1564" w:rsidRDefault="009E1564" w:rsidP="0066370C">
      <w:pPr>
        <w:ind w:left="360" w:hanging="360"/>
        <w:rPr>
          <w:rFonts w:ascii="Arial Narrow" w:hAnsi="Arial Narrow"/>
          <w:lang w:val="en-NZ"/>
        </w:rPr>
      </w:pPr>
      <w:r>
        <w:rPr>
          <w:rFonts w:ascii="Arial Narrow" w:hAnsi="Arial Narrow"/>
          <w:lang w:val="en-NZ"/>
        </w:rPr>
        <w:lastRenderedPageBreak/>
        <w:t xml:space="preserve">Vieites, R.W., </w:t>
      </w:r>
      <w:r>
        <w:rPr>
          <w:rFonts w:ascii="Arial Narrow" w:hAnsi="Arial Narrow"/>
          <w:bCs/>
        </w:rPr>
        <w:t xml:space="preserve">Roman, S., Wake, M. &amp; Wake, D. 2011. A mutagenic perspective on phylogenetic relationships in the largest family of salamanders, the </w:t>
      </w:r>
      <w:r>
        <w:rPr>
          <w:rFonts w:ascii="Arial Narrow" w:hAnsi="Arial Narrow"/>
          <w:bCs/>
          <w:i/>
        </w:rPr>
        <w:t>Pethodontidae</w:t>
      </w:r>
      <w:r>
        <w:rPr>
          <w:rFonts w:ascii="Arial Narrow" w:hAnsi="Arial Narrow"/>
          <w:bCs/>
        </w:rPr>
        <w:t xml:space="preserve">. </w:t>
      </w:r>
      <w:r>
        <w:rPr>
          <w:rFonts w:ascii="Arial Narrow" w:hAnsi="Arial Narrow"/>
          <w:bCs/>
          <w:i/>
        </w:rPr>
        <w:t>Molecular phylogenetics and Evolution</w:t>
      </w:r>
      <w:r>
        <w:rPr>
          <w:rFonts w:ascii="Arial Narrow" w:hAnsi="Arial Narrow"/>
          <w:bCs/>
        </w:rPr>
        <w:t xml:space="preserve"> 59, 623-635</w:t>
      </w:r>
    </w:p>
    <w:p w:rsidR="009E1564" w:rsidRDefault="009E1564" w:rsidP="0066370C">
      <w:pPr>
        <w:ind w:left="360" w:hanging="360"/>
        <w:rPr>
          <w:rFonts w:ascii="Arial Narrow" w:hAnsi="Arial Narrow"/>
          <w:lang w:val="en-NZ"/>
        </w:rPr>
      </w:pPr>
    </w:p>
    <w:p w:rsidR="0066370C" w:rsidRDefault="0066370C" w:rsidP="0066370C">
      <w:pPr>
        <w:autoSpaceDE w:val="0"/>
        <w:autoSpaceDN w:val="0"/>
        <w:adjustRightInd w:val="0"/>
        <w:ind w:left="360" w:hanging="360"/>
        <w:rPr>
          <w:rFonts w:ascii="Arial Narrow" w:hAnsi="Arial Narrow"/>
          <w:lang w:val="en-NZ"/>
        </w:rPr>
      </w:pPr>
      <w:r w:rsidRPr="00FD0F50">
        <w:rPr>
          <w:rFonts w:ascii="Arial Narrow" w:hAnsi="Arial Narrow"/>
          <w:lang w:val="en-NZ"/>
        </w:rPr>
        <w:t>Witmer, G., Eisemann, J., &amp; Howal</w:t>
      </w:r>
      <w:r w:rsidR="008748D6">
        <w:rPr>
          <w:rFonts w:ascii="Arial Narrow" w:hAnsi="Arial Narrow"/>
          <w:lang w:val="en-NZ"/>
        </w:rPr>
        <w:t xml:space="preserve">d, G. </w:t>
      </w:r>
      <w:r w:rsidRPr="00FD0F50">
        <w:rPr>
          <w:rFonts w:ascii="Arial Narrow" w:hAnsi="Arial Narrow"/>
          <w:lang w:val="en-NZ"/>
        </w:rPr>
        <w:t>2007. The use of rodenticides for conservation efforts. In D. L. Nolte, W. M. Arjo, &amp; D. H. Stalman (Eds.),</w:t>
      </w:r>
      <w:r w:rsidRPr="00FD0F50">
        <w:rPr>
          <w:rFonts w:ascii="Arial Narrow" w:hAnsi="Arial Narrow"/>
          <w:i/>
          <w:lang w:val="en-NZ"/>
        </w:rPr>
        <w:t xml:space="preserve"> Proceedings of the 12</w:t>
      </w:r>
      <w:r w:rsidRPr="00FD0F50">
        <w:rPr>
          <w:rFonts w:ascii="Arial Narrow" w:hAnsi="Arial Narrow"/>
          <w:i/>
          <w:vertAlign w:val="superscript"/>
          <w:lang w:val="en-NZ"/>
        </w:rPr>
        <w:t>th</w:t>
      </w:r>
      <w:r w:rsidRPr="00FD0F50">
        <w:rPr>
          <w:rFonts w:ascii="Arial Narrow" w:hAnsi="Arial Narrow"/>
          <w:i/>
          <w:lang w:val="en-NZ"/>
        </w:rPr>
        <w:t xml:space="preserve"> Wildlife Damage Management Conference</w:t>
      </w:r>
      <w:r w:rsidRPr="00FD0F50">
        <w:rPr>
          <w:rFonts w:ascii="Arial Narrow" w:hAnsi="Arial Narrow"/>
          <w:lang w:val="en-NZ"/>
        </w:rPr>
        <w:t>. (Pp. 160-166), Corpus Christi, Texas: 12</w:t>
      </w:r>
      <w:r w:rsidRPr="00FD0F50">
        <w:rPr>
          <w:rFonts w:ascii="Arial Narrow" w:hAnsi="Arial Narrow"/>
          <w:vertAlign w:val="superscript"/>
          <w:lang w:val="en-NZ"/>
        </w:rPr>
        <w:t>th</w:t>
      </w:r>
      <w:r w:rsidRPr="00FD0F50">
        <w:rPr>
          <w:rFonts w:ascii="Arial Narrow" w:hAnsi="Arial Narrow"/>
          <w:lang w:val="en-NZ"/>
        </w:rPr>
        <w:t xml:space="preserve"> Wildlife Damage Management Conference.</w:t>
      </w:r>
    </w:p>
    <w:p w:rsidR="00FB33AF" w:rsidRPr="00FD0F50" w:rsidRDefault="00FB33AF" w:rsidP="0066370C">
      <w:pPr>
        <w:autoSpaceDE w:val="0"/>
        <w:autoSpaceDN w:val="0"/>
        <w:adjustRightInd w:val="0"/>
        <w:ind w:left="360" w:hanging="360"/>
        <w:rPr>
          <w:rFonts w:ascii="Arial Narrow" w:hAnsi="Arial Narrow"/>
        </w:rPr>
      </w:pPr>
    </w:p>
    <w:p w:rsidR="0066370C" w:rsidRDefault="0066370C" w:rsidP="0066370C">
      <w:pPr>
        <w:autoSpaceDE w:val="0"/>
        <w:autoSpaceDN w:val="0"/>
        <w:adjustRightInd w:val="0"/>
        <w:ind w:left="360" w:hanging="360"/>
        <w:rPr>
          <w:rFonts w:ascii="Arial Narrow" w:hAnsi="Arial Narrow"/>
          <w:bCs/>
        </w:rPr>
      </w:pPr>
      <w:r w:rsidRPr="00FD0F50">
        <w:rPr>
          <w:rFonts w:ascii="Arial Narrow" w:hAnsi="Arial Narrow"/>
        </w:rPr>
        <w:t xml:space="preserve">Witmer, G. &amp; Jojola, S. 2006. What’s up with house mice? – A review. In R. M. Timm &amp; J. M. O’Brien (Eds.), </w:t>
      </w:r>
      <w:r w:rsidRPr="00FD0F50">
        <w:rPr>
          <w:rFonts w:ascii="Arial Narrow" w:hAnsi="Arial Narrow"/>
          <w:i/>
        </w:rPr>
        <w:t>Proceedings of the 22</w:t>
      </w:r>
      <w:r w:rsidRPr="00FD0F50">
        <w:rPr>
          <w:rFonts w:ascii="Arial Narrow" w:hAnsi="Arial Narrow"/>
          <w:i/>
          <w:vertAlign w:val="superscript"/>
        </w:rPr>
        <w:t>nd</w:t>
      </w:r>
      <w:r w:rsidRPr="00FD0F50">
        <w:rPr>
          <w:rFonts w:ascii="Arial Narrow" w:hAnsi="Arial Narrow"/>
          <w:i/>
        </w:rPr>
        <w:t xml:space="preserve"> </w:t>
      </w:r>
      <w:r w:rsidRPr="00FD0F50">
        <w:rPr>
          <w:rFonts w:ascii="Arial Narrow" w:hAnsi="Arial Narrow"/>
          <w:bCs/>
          <w:i/>
        </w:rPr>
        <w:t>Vertebrate Pest Conference</w:t>
      </w:r>
      <w:r w:rsidRPr="00FD0F50">
        <w:rPr>
          <w:rFonts w:ascii="Arial Narrow" w:hAnsi="Arial Narrow"/>
          <w:bCs/>
        </w:rPr>
        <w:t>. (Pp.124-130), Davis, California: University of California.</w:t>
      </w:r>
    </w:p>
    <w:p w:rsidR="00FB33AF" w:rsidRPr="00FD0F50" w:rsidRDefault="00FB33AF" w:rsidP="0066370C">
      <w:pPr>
        <w:autoSpaceDE w:val="0"/>
        <w:autoSpaceDN w:val="0"/>
        <w:adjustRightInd w:val="0"/>
        <w:ind w:left="360" w:hanging="360"/>
        <w:rPr>
          <w:rFonts w:ascii="Arial Narrow" w:hAnsi="Arial Narrow"/>
          <w:bCs/>
        </w:rPr>
      </w:pPr>
    </w:p>
    <w:p w:rsidR="0066370C" w:rsidRPr="00FD0F50" w:rsidRDefault="008748D6" w:rsidP="0066370C">
      <w:pPr>
        <w:ind w:left="360" w:hanging="360"/>
        <w:rPr>
          <w:rFonts w:ascii="Arial Narrow" w:hAnsi="Arial Narrow"/>
        </w:rPr>
      </w:pPr>
      <w:r>
        <w:rPr>
          <w:rFonts w:ascii="Arial Narrow" w:hAnsi="Arial Narrow"/>
        </w:rPr>
        <w:t xml:space="preserve">Witmer, G. &amp; Mauldin R. </w:t>
      </w:r>
      <w:r w:rsidR="0066370C" w:rsidRPr="00FD0F50">
        <w:rPr>
          <w:rFonts w:ascii="Arial Narrow" w:hAnsi="Arial Narrow"/>
        </w:rPr>
        <w:t>2012. Assessing the potential hazard of anticoagulant rodenticides to non-target reptiles. Final Report, QA-1434. USDA National Wildlife Research Center, 4101 Laporte Avenue, Fort, Collins, CO. 23 pp.</w:t>
      </w:r>
    </w:p>
    <w:p w:rsidR="0066370C" w:rsidRPr="00FD0F50" w:rsidRDefault="0066370C" w:rsidP="0066370C">
      <w:pPr>
        <w:ind w:left="360" w:hanging="360"/>
        <w:rPr>
          <w:rFonts w:ascii="Arial Narrow" w:hAnsi="Arial Narrow"/>
        </w:rPr>
      </w:pPr>
    </w:p>
    <w:p w:rsidR="0066370C" w:rsidRPr="00FD0F50" w:rsidRDefault="0066370C" w:rsidP="0066370C">
      <w:pPr>
        <w:ind w:left="360" w:hanging="360"/>
        <w:rPr>
          <w:rFonts w:ascii="Arial Narrow" w:hAnsi="Arial Narrow"/>
          <w:bCs/>
        </w:rPr>
      </w:pPr>
      <w:r w:rsidRPr="00FD0F50">
        <w:rPr>
          <w:rFonts w:ascii="Arial Narrow" w:hAnsi="Arial Narrow"/>
        </w:rPr>
        <w:t xml:space="preserve">Witmer, G.W., Pierce, J. &amp; Pitt, W.C. 2011. Eradication of invasive rodents on islands of the United States. In C. Veitch, M. Clout &amp; D. Towns (Eds.), </w:t>
      </w:r>
      <w:r w:rsidRPr="00FD0F50">
        <w:rPr>
          <w:rFonts w:ascii="Arial Narrow" w:hAnsi="Arial Narrow"/>
          <w:i/>
        </w:rPr>
        <w:t>Island Invasives: Eradication and Management.</w:t>
      </w:r>
      <w:r w:rsidRPr="00FD0F50">
        <w:rPr>
          <w:rFonts w:ascii="Arial Narrow" w:hAnsi="Arial Narrow"/>
        </w:rPr>
        <w:t xml:space="preserve"> (Pp. 135-138), Gland, Switzerland: International Union for Conservation of Nature (IUCN).</w:t>
      </w:r>
    </w:p>
    <w:p w:rsidR="0066370C" w:rsidRPr="00FD0F50" w:rsidRDefault="009E1564" w:rsidP="0066370C">
      <w:pPr>
        <w:ind w:left="360" w:hanging="360"/>
        <w:rPr>
          <w:rFonts w:ascii="Arial Narrow" w:hAnsi="Arial Narrow"/>
          <w:bCs/>
        </w:rPr>
      </w:pPr>
      <w:r>
        <w:rPr>
          <w:rFonts w:ascii="Arial Narrow" w:hAnsi="Arial Narrow"/>
          <w:bCs/>
        </w:rPr>
        <w:t xml:space="preserve"> </w:t>
      </w:r>
    </w:p>
    <w:p w:rsidR="0066370C" w:rsidRDefault="0066370C" w:rsidP="0066370C">
      <w:pPr>
        <w:ind w:left="360" w:hanging="360"/>
        <w:rPr>
          <w:rFonts w:ascii="Arial Narrow" w:hAnsi="Arial Narrow"/>
          <w:bCs/>
        </w:rPr>
      </w:pPr>
      <w:r w:rsidRPr="00FD0F50">
        <w:rPr>
          <w:rFonts w:ascii="Arial Narrow" w:hAnsi="Arial Narrow"/>
          <w:bCs/>
        </w:rPr>
        <w:t>Witmer, G., Snow,</w:t>
      </w:r>
      <w:r w:rsidR="008748D6">
        <w:rPr>
          <w:rFonts w:ascii="Arial Narrow" w:hAnsi="Arial Narrow"/>
          <w:bCs/>
        </w:rPr>
        <w:t xml:space="preserve"> N., Moulton, R., &amp; Swartz, J. </w:t>
      </w:r>
      <w:r w:rsidRPr="00FD0F50">
        <w:rPr>
          <w:rFonts w:ascii="Arial Narrow" w:hAnsi="Arial Narrow"/>
          <w:bCs/>
        </w:rPr>
        <w:t xml:space="preserve">2012. An assessment of seedling damage by wild house mice and wild deer mice. </w:t>
      </w:r>
      <w:r w:rsidRPr="00FD0F50">
        <w:rPr>
          <w:rFonts w:ascii="Arial Narrow" w:hAnsi="Arial Narrow"/>
          <w:bCs/>
          <w:i/>
        </w:rPr>
        <w:t>Canadian Journal of Forest Research</w:t>
      </w:r>
      <w:r w:rsidRPr="00FD0F50">
        <w:rPr>
          <w:rFonts w:ascii="Arial Narrow" w:hAnsi="Arial Narrow"/>
          <w:bCs/>
        </w:rPr>
        <w:t xml:space="preserve"> 42, 1168-1172.</w:t>
      </w:r>
    </w:p>
    <w:p w:rsidR="0066370C" w:rsidRDefault="0066370C" w:rsidP="0066370C">
      <w:pPr>
        <w:ind w:left="360" w:hanging="360"/>
        <w:rPr>
          <w:rFonts w:ascii="Arial Narrow" w:hAnsi="Arial Narrow"/>
          <w:bCs/>
        </w:rPr>
      </w:pPr>
    </w:p>
    <w:p w:rsidR="00A65703" w:rsidRDefault="00A65703">
      <w:pPr>
        <w:spacing w:after="200" w:line="276" w:lineRule="auto"/>
      </w:pPr>
      <w:r>
        <w:br w:type="page"/>
      </w:r>
    </w:p>
    <w:p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Brodifacoum</w:t>
            </w:r>
          </w:p>
          <w:p w:rsidR="0020360C" w:rsidRPr="00060EA8" w:rsidRDefault="0020360C" w:rsidP="00CD43A4">
            <w:pPr>
              <w:jc w:val="center"/>
              <w:rPr>
                <w:rFonts w:ascii="Calibri" w:hAnsi="Calibri"/>
                <w:color w:val="000000"/>
              </w:rPr>
            </w:pPr>
            <w:r>
              <w:rPr>
                <w:rFonts w:ascii="Calibri" w:hAnsi="Calibri"/>
                <w:color w:val="000000"/>
              </w:rPr>
              <w:t>/crickets &amp; dermal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20360C" w:rsidP="00CD43A4">
            <w:pPr>
              <w:jc w:val="center"/>
              <w:rPr>
                <w:rFonts w:ascii="Calibri" w:hAnsi="Calibri"/>
                <w:color w:val="000000"/>
              </w:rPr>
            </w:pPr>
            <w:r>
              <w:rPr>
                <w:rFonts w:ascii="Calibri" w:hAnsi="Calibri"/>
                <w:color w:val="000000"/>
              </w:rPr>
              <w:t>rickets</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Diphacinone</w:t>
            </w:r>
          </w:p>
          <w:p w:rsidR="0020360C" w:rsidRPr="00060EA8" w:rsidRDefault="0020360C" w:rsidP="00CD43A4">
            <w:pPr>
              <w:jc w:val="center"/>
              <w:rPr>
                <w:rFonts w:ascii="Calibri" w:hAnsi="Calibri"/>
                <w:color w:val="000000"/>
              </w:rPr>
            </w:pPr>
            <w:r>
              <w:rPr>
                <w:rFonts w:ascii="Calibri" w:hAnsi="Calibri"/>
                <w:color w:val="000000"/>
              </w:rPr>
              <w:t>/crickets &amp; dermal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/Crickets</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/Crickets</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9C200F" w:rsidRDefault="009C200F" w:rsidP="00C04614"/>
    <w:p w:rsidR="009C200F" w:rsidRDefault="009C200F" w:rsidP="00C04614"/>
    <w:p w:rsidR="009C200F" w:rsidRDefault="009C200F" w:rsidP="00C04614"/>
    <w:sectPr w:rsidR="009C200F" w:rsidSect="004E2B8D">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40B5" w:rsidRDefault="006940B5" w:rsidP="009B0870">
      <w:r>
        <w:separator/>
      </w:r>
    </w:p>
  </w:endnote>
  <w:endnote w:type="continuationSeparator" w:id="0">
    <w:p w:rsidR="006940B5" w:rsidRDefault="006940B5"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rsidR="00003A4A" w:rsidRDefault="00003A4A">
        <w:pPr>
          <w:pStyle w:val="Footer"/>
          <w:jc w:val="center"/>
        </w:pPr>
        <w:r>
          <w:fldChar w:fldCharType="begin"/>
        </w:r>
        <w:r>
          <w:instrText xml:space="preserve"> PAGE   \* MERGEFORMAT </w:instrText>
        </w:r>
        <w:r>
          <w:fldChar w:fldCharType="separate"/>
        </w:r>
        <w:r w:rsidR="00F96B2E">
          <w:rPr>
            <w:noProof/>
          </w:rPr>
          <w:t>1</w:t>
        </w:r>
        <w:r>
          <w:rPr>
            <w:noProof/>
          </w:rPr>
          <w:fldChar w:fldCharType="end"/>
        </w:r>
      </w:p>
    </w:sdtContent>
  </w:sdt>
  <w:p w:rsidR="00003A4A" w:rsidRDefault="00003A4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40B5" w:rsidRDefault="006940B5" w:rsidP="009B0870">
      <w:r>
        <w:separator/>
      </w:r>
    </w:p>
  </w:footnote>
  <w:footnote w:type="continuationSeparator" w:id="0">
    <w:p w:rsidR="006940B5" w:rsidRDefault="006940B5"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21A11"/>
    <w:rsid w:val="0002614C"/>
    <w:rsid w:val="00027AC3"/>
    <w:rsid w:val="0003345C"/>
    <w:rsid w:val="00044805"/>
    <w:rsid w:val="0004536C"/>
    <w:rsid w:val="0004566E"/>
    <w:rsid w:val="000459B8"/>
    <w:rsid w:val="00046D52"/>
    <w:rsid w:val="00047352"/>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D1EC1"/>
    <w:rsid w:val="000D6621"/>
    <w:rsid w:val="000E508F"/>
    <w:rsid w:val="000F0C56"/>
    <w:rsid w:val="000F68FF"/>
    <w:rsid w:val="0010252D"/>
    <w:rsid w:val="0010616C"/>
    <w:rsid w:val="00112C1A"/>
    <w:rsid w:val="00115003"/>
    <w:rsid w:val="00115A78"/>
    <w:rsid w:val="001445DF"/>
    <w:rsid w:val="00150BBF"/>
    <w:rsid w:val="001517FF"/>
    <w:rsid w:val="00154E19"/>
    <w:rsid w:val="001611AC"/>
    <w:rsid w:val="00173DE3"/>
    <w:rsid w:val="00176397"/>
    <w:rsid w:val="00185766"/>
    <w:rsid w:val="00195824"/>
    <w:rsid w:val="001A0BB8"/>
    <w:rsid w:val="001A1B38"/>
    <w:rsid w:val="001D32FA"/>
    <w:rsid w:val="001E08E4"/>
    <w:rsid w:val="001F38A3"/>
    <w:rsid w:val="001F7E90"/>
    <w:rsid w:val="0020360C"/>
    <w:rsid w:val="002059AF"/>
    <w:rsid w:val="00225E2F"/>
    <w:rsid w:val="00231919"/>
    <w:rsid w:val="002329E9"/>
    <w:rsid w:val="00233954"/>
    <w:rsid w:val="002512D4"/>
    <w:rsid w:val="00260462"/>
    <w:rsid w:val="00267DE2"/>
    <w:rsid w:val="00277FB4"/>
    <w:rsid w:val="002A3164"/>
    <w:rsid w:val="002A4B23"/>
    <w:rsid w:val="002B2834"/>
    <w:rsid w:val="002B4A89"/>
    <w:rsid w:val="002B4C6D"/>
    <w:rsid w:val="002C0B04"/>
    <w:rsid w:val="002C6EB9"/>
    <w:rsid w:val="002D289B"/>
    <w:rsid w:val="002D2E4F"/>
    <w:rsid w:val="002D3F95"/>
    <w:rsid w:val="002E4466"/>
    <w:rsid w:val="002E7D5C"/>
    <w:rsid w:val="002F03A8"/>
    <w:rsid w:val="0030123C"/>
    <w:rsid w:val="003018EF"/>
    <w:rsid w:val="003042AD"/>
    <w:rsid w:val="00304E46"/>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69FA"/>
    <w:rsid w:val="00370101"/>
    <w:rsid w:val="003717CF"/>
    <w:rsid w:val="00374C0E"/>
    <w:rsid w:val="00375639"/>
    <w:rsid w:val="00381508"/>
    <w:rsid w:val="00385E8C"/>
    <w:rsid w:val="0039041E"/>
    <w:rsid w:val="0039102D"/>
    <w:rsid w:val="003B4FE5"/>
    <w:rsid w:val="003B646D"/>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35C65"/>
    <w:rsid w:val="0044354D"/>
    <w:rsid w:val="00453438"/>
    <w:rsid w:val="00456CA4"/>
    <w:rsid w:val="00460690"/>
    <w:rsid w:val="00462AA8"/>
    <w:rsid w:val="00470A5F"/>
    <w:rsid w:val="00471B00"/>
    <w:rsid w:val="00473690"/>
    <w:rsid w:val="00484EAC"/>
    <w:rsid w:val="0048688F"/>
    <w:rsid w:val="004A165F"/>
    <w:rsid w:val="004A5A9A"/>
    <w:rsid w:val="004A65F8"/>
    <w:rsid w:val="004B205C"/>
    <w:rsid w:val="004C4E40"/>
    <w:rsid w:val="004C69D2"/>
    <w:rsid w:val="004D4848"/>
    <w:rsid w:val="004D6329"/>
    <w:rsid w:val="004E15EF"/>
    <w:rsid w:val="004E2B8D"/>
    <w:rsid w:val="004E2E66"/>
    <w:rsid w:val="004F69D5"/>
    <w:rsid w:val="00516C61"/>
    <w:rsid w:val="00517564"/>
    <w:rsid w:val="00520498"/>
    <w:rsid w:val="00520D92"/>
    <w:rsid w:val="005222E3"/>
    <w:rsid w:val="00527197"/>
    <w:rsid w:val="00535F54"/>
    <w:rsid w:val="005366ED"/>
    <w:rsid w:val="005464A8"/>
    <w:rsid w:val="00546F08"/>
    <w:rsid w:val="0055102C"/>
    <w:rsid w:val="00562B2B"/>
    <w:rsid w:val="00564258"/>
    <w:rsid w:val="005719B4"/>
    <w:rsid w:val="005742E8"/>
    <w:rsid w:val="00582817"/>
    <w:rsid w:val="00587252"/>
    <w:rsid w:val="005A748B"/>
    <w:rsid w:val="005A7866"/>
    <w:rsid w:val="005A7920"/>
    <w:rsid w:val="005B402C"/>
    <w:rsid w:val="005D0543"/>
    <w:rsid w:val="005D4586"/>
    <w:rsid w:val="005E2536"/>
    <w:rsid w:val="005F3300"/>
    <w:rsid w:val="00605284"/>
    <w:rsid w:val="00606625"/>
    <w:rsid w:val="00611023"/>
    <w:rsid w:val="00611A44"/>
    <w:rsid w:val="00615C8A"/>
    <w:rsid w:val="00621EB0"/>
    <w:rsid w:val="0063244D"/>
    <w:rsid w:val="00640AB7"/>
    <w:rsid w:val="00643F80"/>
    <w:rsid w:val="006454AA"/>
    <w:rsid w:val="006525AE"/>
    <w:rsid w:val="00652AC4"/>
    <w:rsid w:val="00655974"/>
    <w:rsid w:val="006622E2"/>
    <w:rsid w:val="0066370C"/>
    <w:rsid w:val="0066443F"/>
    <w:rsid w:val="00672A6E"/>
    <w:rsid w:val="006819AC"/>
    <w:rsid w:val="00684392"/>
    <w:rsid w:val="006854F3"/>
    <w:rsid w:val="00690B4C"/>
    <w:rsid w:val="00692F3C"/>
    <w:rsid w:val="0069309D"/>
    <w:rsid w:val="006940B5"/>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69A4"/>
    <w:rsid w:val="007E71A5"/>
    <w:rsid w:val="007F3839"/>
    <w:rsid w:val="007F3B58"/>
    <w:rsid w:val="007F3D6D"/>
    <w:rsid w:val="007F7BC4"/>
    <w:rsid w:val="008042A7"/>
    <w:rsid w:val="008112FF"/>
    <w:rsid w:val="00814747"/>
    <w:rsid w:val="00815613"/>
    <w:rsid w:val="0081783E"/>
    <w:rsid w:val="008204C7"/>
    <w:rsid w:val="008234BA"/>
    <w:rsid w:val="00832170"/>
    <w:rsid w:val="0083716B"/>
    <w:rsid w:val="008409B6"/>
    <w:rsid w:val="00841876"/>
    <w:rsid w:val="00844389"/>
    <w:rsid w:val="00845480"/>
    <w:rsid w:val="00850A5D"/>
    <w:rsid w:val="00857542"/>
    <w:rsid w:val="00860135"/>
    <w:rsid w:val="008615AB"/>
    <w:rsid w:val="0086263F"/>
    <w:rsid w:val="008748D6"/>
    <w:rsid w:val="00875C6D"/>
    <w:rsid w:val="00881CE2"/>
    <w:rsid w:val="00891B0B"/>
    <w:rsid w:val="008A04F4"/>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7863"/>
    <w:rsid w:val="0095451E"/>
    <w:rsid w:val="00954894"/>
    <w:rsid w:val="0095491B"/>
    <w:rsid w:val="009569DA"/>
    <w:rsid w:val="009615B6"/>
    <w:rsid w:val="0097581C"/>
    <w:rsid w:val="009834B8"/>
    <w:rsid w:val="0098535F"/>
    <w:rsid w:val="00995360"/>
    <w:rsid w:val="00997E10"/>
    <w:rsid w:val="009A0AD6"/>
    <w:rsid w:val="009B0870"/>
    <w:rsid w:val="009C0944"/>
    <w:rsid w:val="009C200F"/>
    <w:rsid w:val="009C45AD"/>
    <w:rsid w:val="009D1AE1"/>
    <w:rsid w:val="009E1564"/>
    <w:rsid w:val="009F1787"/>
    <w:rsid w:val="009F26AC"/>
    <w:rsid w:val="00A00672"/>
    <w:rsid w:val="00A0594D"/>
    <w:rsid w:val="00A0609D"/>
    <w:rsid w:val="00A10172"/>
    <w:rsid w:val="00A122F1"/>
    <w:rsid w:val="00A14185"/>
    <w:rsid w:val="00A15DD0"/>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7E2"/>
    <w:rsid w:val="00B262A8"/>
    <w:rsid w:val="00B33074"/>
    <w:rsid w:val="00B342A3"/>
    <w:rsid w:val="00B44E16"/>
    <w:rsid w:val="00B47430"/>
    <w:rsid w:val="00B5206C"/>
    <w:rsid w:val="00B60E73"/>
    <w:rsid w:val="00B61274"/>
    <w:rsid w:val="00B6451E"/>
    <w:rsid w:val="00B73058"/>
    <w:rsid w:val="00B771DA"/>
    <w:rsid w:val="00B81121"/>
    <w:rsid w:val="00B877DE"/>
    <w:rsid w:val="00BA04E9"/>
    <w:rsid w:val="00BA240E"/>
    <w:rsid w:val="00BA34FF"/>
    <w:rsid w:val="00BA41C8"/>
    <w:rsid w:val="00BA648B"/>
    <w:rsid w:val="00BB0606"/>
    <w:rsid w:val="00BB152D"/>
    <w:rsid w:val="00BC23A3"/>
    <w:rsid w:val="00BC2AE5"/>
    <w:rsid w:val="00BC3C4C"/>
    <w:rsid w:val="00BD6811"/>
    <w:rsid w:val="00BE3243"/>
    <w:rsid w:val="00BE5C90"/>
    <w:rsid w:val="00BE64E4"/>
    <w:rsid w:val="00BF7329"/>
    <w:rsid w:val="00C003E7"/>
    <w:rsid w:val="00C006DB"/>
    <w:rsid w:val="00C04614"/>
    <w:rsid w:val="00C04C2B"/>
    <w:rsid w:val="00C05857"/>
    <w:rsid w:val="00C07A85"/>
    <w:rsid w:val="00C1088B"/>
    <w:rsid w:val="00C1239B"/>
    <w:rsid w:val="00C16F63"/>
    <w:rsid w:val="00C21F96"/>
    <w:rsid w:val="00C22A21"/>
    <w:rsid w:val="00C2338B"/>
    <w:rsid w:val="00C242A5"/>
    <w:rsid w:val="00C25933"/>
    <w:rsid w:val="00C30710"/>
    <w:rsid w:val="00C41C3D"/>
    <w:rsid w:val="00C4247E"/>
    <w:rsid w:val="00C65A26"/>
    <w:rsid w:val="00C66D53"/>
    <w:rsid w:val="00C7086C"/>
    <w:rsid w:val="00C7372B"/>
    <w:rsid w:val="00C8119B"/>
    <w:rsid w:val="00C8209E"/>
    <w:rsid w:val="00CB097B"/>
    <w:rsid w:val="00CC2411"/>
    <w:rsid w:val="00CD43A4"/>
    <w:rsid w:val="00CE44DE"/>
    <w:rsid w:val="00D14BEB"/>
    <w:rsid w:val="00D1752E"/>
    <w:rsid w:val="00D2119E"/>
    <w:rsid w:val="00D232E3"/>
    <w:rsid w:val="00D27957"/>
    <w:rsid w:val="00D3054D"/>
    <w:rsid w:val="00D342BC"/>
    <w:rsid w:val="00D42840"/>
    <w:rsid w:val="00D5102B"/>
    <w:rsid w:val="00D7454D"/>
    <w:rsid w:val="00D76496"/>
    <w:rsid w:val="00D82198"/>
    <w:rsid w:val="00D86BED"/>
    <w:rsid w:val="00D952A4"/>
    <w:rsid w:val="00D97AB0"/>
    <w:rsid w:val="00DA18AB"/>
    <w:rsid w:val="00DA6811"/>
    <w:rsid w:val="00DA6D5B"/>
    <w:rsid w:val="00DB358F"/>
    <w:rsid w:val="00DC1268"/>
    <w:rsid w:val="00DC171B"/>
    <w:rsid w:val="00DC2FC8"/>
    <w:rsid w:val="00DE52EF"/>
    <w:rsid w:val="00DF3467"/>
    <w:rsid w:val="00DF5F6D"/>
    <w:rsid w:val="00E053D2"/>
    <w:rsid w:val="00E14257"/>
    <w:rsid w:val="00E24867"/>
    <w:rsid w:val="00E2638A"/>
    <w:rsid w:val="00E41CA5"/>
    <w:rsid w:val="00E434D5"/>
    <w:rsid w:val="00E45B21"/>
    <w:rsid w:val="00E51706"/>
    <w:rsid w:val="00E55791"/>
    <w:rsid w:val="00E5708F"/>
    <w:rsid w:val="00E5761D"/>
    <w:rsid w:val="00E638A3"/>
    <w:rsid w:val="00E63CCF"/>
    <w:rsid w:val="00E72821"/>
    <w:rsid w:val="00E758E5"/>
    <w:rsid w:val="00E876E1"/>
    <w:rsid w:val="00E97C5D"/>
    <w:rsid w:val="00EA7483"/>
    <w:rsid w:val="00EB4C5E"/>
    <w:rsid w:val="00EB684C"/>
    <w:rsid w:val="00EC1C03"/>
    <w:rsid w:val="00EC64CA"/>
    <w:rsid w:val="00EC684B"/>
    <w:rsid w:val="00EC68A5"/>
    <w:rsid w:val="00EC7D98"/>
    <w:rsid w:val="00EC7EA1"/>
    <w:rsid w:val="00EC7F50"/>
    <w:rsid w:val="00ED361F"/>
    <w:rsid w:val="00ED4777"/>
    <w:rsid w:val="00ED7EC8"/>
    <w:rsid w:val="00EE7783"/>
    <w:rsid w:val="00F1456A"/>
    <w:rsid w:val="00F146AD"/>
    <w:rsid w:val="00F22583"/>
    <w:rsid w:val="00F22664"/>
    <w:rsid w:val="00F27F05"/>
    <w:rsid w:val="00F444C0"/>
    <w:rsid w:val="00F46452"/>
    <w:rsid w:val="00F50769"/>
    <w:rsid w:val="00F5230C"/>
    <w:rsid w:val="00F64583"/>
    <w:rsid w:val="00F71D3E"/>
    <w:rsid w:val="00F75540"/>
    <w:rsid w:val="00F81EDE"/>
    <w:rsid w:val="00F81F3C"/>
    <w:rsid w:val="00F82B54"/>
    <w:rsid w:val="00F836C9"/>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5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iPriority w:val="99"/>
    <w:semiHidden/>
    <w:unhideWhenUsed/>
    <w:rsid w:val="00FB2D08"/>
    <w:rPr>
      <w:rFonts w:ascii="Tahoma" w:hAnsi="Tahoma" w:cs="Tahoma"/>
      <w:sz w:val="16"/>
      <w:szCs w:val="16"/>
    </w:rPr>
  </w:style>
  <w:style w:type="character" w:customStyle="1" w:styleId="BalloonTextChar">
    <w:name w:val="Balloon Text Char"/>
    <w:basedOn w:val="DefaultParagraphFont"/>
    <w:link w:val="BalloonText"/>
    <w:uiPriority w:val="99"/>
    <w:semiHidden/>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ustomXml" Target="../customXml/item3.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EA95CF0D-CAC5-4AD7-A5FD-F48C61EE46EE}"/>
</file>

<file path=customXml/itemProps2.xml><?xml version="1.0" encoding="utf-8"?>
<ds:datastoreItem xmlns:ds="http://schemas.openxmlformats.org/officeDocument/2006/customXml" ds:itemID="{03329AB5-0CDC-48E6-AC1A-5ABCEB9B476E}"/>
</file>

<file path=customXml/itemProps3.xml><?xml version="1.0" encoding="utf-8"?>
<ds:datastoreItem xmlns:ds="http://schemas.openxmlformats.org/officeDocument/2006/customXml" ds:itemID="{E94528C7-DB64-4F7C-91F0-B58E7633E202}"/>
</file>

<file path=docProps/app.xml><?xml version="1.0" encoding="utf-8"?>
<Properties xmlns="http://schemas.openxmlformats.org/officeDocument/2006/extended-properties" xmlns:vt="http://schemas.openxmlformats.org/officeDocument/2006/docPropsVTypes">
  <Template>Normal.dotm</Template>
  <TotalTime>120</TotalTime>
  <Pages>19</Pages>
  <Words>5435</Words>
  <Characters>30982</Characters>
  <Application>Microsoft Office Word</Application>
  <DocSecurity>0</DocSecurity>
  <Lines>258</Lines>
  <Paragraphs>72</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36345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19</cp:revision>
  <cp:lastPrinted>2014-09-25T21:47:00Z</cp:lastPrinted>
  <dcterms:created xsi:type="dcterms:W3CDTF">2018-02-01T21:53:00Z</dcterms:created>
  <dcterms:modified xsi:type="dcterms:W3CDTF">2018-02-02T00:11:00Z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361800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